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D0BC" w14:textId="62F56DC2" w:rsidR="00517EE8" w:rsidRPr="0037561A" w:rsidRDefault="0037561A" w:rsidP="00517EE8">
      <w:pPr>
        <w:pBdr>
          <w:between w:val="single" w:sz="4" w:space="1" w:color="auto"/>
        </w:pBdr>
        <w:spacing w:after="0" w:line="240" w:lineRule="auto"/>
        <w:jc w:val="both"/>
        <w:rPr>
          <w:rFonts w:ascii="Century Gothic" w:hAnsi="Century Gothic"/>
          <w:b/>
          <w:i/>
          <w:sz w:val="28"/>
          <w:lang w:val="es-PR"/>
        </w:rPr>
      </w:pPr>
      <w:bookmarkStart w:id="0" w:name="_Hlk75953337"/>
      <w:r w:rsidRPr="0037561A">
        <w:rPr>
          <w:rFonts w:ascii="Century Gothic" w:hAnsi="Century Gothic"/>
          <w:b/>
          <w:i/>
          <w:sz w:val="28"/>
          <w:lang w:val="es-PR"/>
        </w:rPr>
        <w:t xml:space="preserve">LISTA DE COTEJO DE CUMPLIMIENTO CON </w:t>
      </w:r>
      <w:r w:rsidR="004B7174">
        <w:rPr>
          <w:rFonts w:ascii="Century Gothic" w:hAnsi="Century Gothic"/>
          <w:b/>
          <w:i/>
          <w:sz w:val="28"/>
          <w:lang w:val="es-PR"/>
        </w:rPr>
        <w:t xml:space="preserve">LA LEY </w:t>
      </w:r>
      <w:proofErr w:type="spellStart"/>
      <w:r w:rsidR="00517EE8" w:rsidRPr="0037561A">
        <w:rPr>
          <w:rFonts w:ascii="Century Gothic" w:hAnsi="Century Gothic"/>
          <w:b/>
          <w:i/>
          <w:sz w:val="28"/>
          <w:lang w:val="es-PR"/>
        </w:rPr>
        <w:t>URA</w:t>
      </w:r>
      <w:proofErr w:type="spellEnd"/>
      <w:r w:rsidR="00517EE8" w:rsidRPr="0037561A">
        <w:rPr>
          <w:rFonts w:ascii="Century Gothic" w:hAnsi="Century Gothic"/>
          <w:b/>
          <w:i/>
          <w:sz w:val="28"/>
          <w:lang w:val="es-PR"/>
        </w:rPr>
        <w:t xml:space="preserve"> #5: </w:t>
      </w:r>
      <w:r w:rsidRPr="006D47C6">
        <w:rPr>
          <w:rFonts w:ascii="Century Gothic" w:hAnsi="Century Gothic"/>
          <w:b/>
          <w:i/>
          <w:sz w:val="28"/>
          <w:lang w:val="es-PR"/>
        </w:rPr>
        <w:t xml:space="preserve">NEGOCIACIONES PARA </w:t>
      </w:r>
      <w:r w:rsidR="006D47C6" w:rsidRPr="006D47C6">
        <w:rPr>
          <w:rFonts w:ascii="Century Gothic" w:hAnsi="Century Gothic"/>
          <w:b/>
          <w:i/>
          <w:sz w:val="28"/>
          <w:lang w:val="es-PR"/>
        </w:rPr>
        <w:t xml:space="preserve">LA </w:t>
      </w:r>
      <w:r w:rsidR="00F0239B" w:rsidRPr="006D47C6">
        <w:rPr>
          <w:rFonts w:ascii="Century Gothic" w:hAnsi="Century Gothic"/>
          <w:b/>
          <w:i/>
          <w:sz w:val="28"/>
          <w:lang w:val="es-PR"/>
        </w:rPr>
        <w:t>ADQUISICI</w:t>
      </w:r>
      <w:r w:rsidR="006D47C6" w:rsidRPr="006D47C6">
        <w:rPr>
          <w:rFonts w:ascii="Century Gothic" w:hAnsi="Century Gothic"/>
          <w:b/>
          <w:i/>
          <w:sz w:val="28"/>
          <w:lang w:val="es-PR"/>
        </w:rPr>
        <w:t>ÓN DE PROPIEDADES</w:t>
      </w:r>
      <w:r w:rsidR="00F0239B" w:rsidRPr="006D47C6">
        <w:rPr>
          <w:rFonts w:ascii="Century Gothic" w:hAnsi="Century Gothic"/>
          <w:b/>
          <w:i/>
          <w:sz w:val="28"/>
          <w:lang w:val="es-PR"/>
        </w:rPr>
        <w:t xml:space="preserve"> BAJO </w:t>
      </w:r>
      <w:r w:rsidR="004B7174" w:rsidRPr="006D47C6">
        <w:rPr>
          <w:rFonts w:ascii="Century Gothic" w:hAnsi="Century Gothic"/>
          <w:b/>
          <w:i/>
          <w:sz w:val="28"/>
          <w:lang w:val="es-PR"/>
        </w:rPr>
        <w:t xml:space="preserve">LA LEY </w:t>
      </w:r>
      <w:proofErr w:type="spellStart"/>
      <w:r w:rsidR="00F0239B" w:rsidRPr="006D47C6">
        <w:rPr>
          <w:rFonts w:ascii="Century Gothic" w:hAnsi="Century Gothic"/>
          <w:b/>
          <w:i/>
          <w:sz w:val="28"/>
          <w:lang w:val="es-PR"/>
        </w:rPr>
        <w:t>URA</w:t>
      </w:r>
      <w:proofErr w:type="spellEnd"/>
    </w:p>
    <w:bookmarkEnd w:id="0"/>
    <w:p w14:paraId="7D0F4D78" w14:textId="77777777" w:rsidR="00F0239B" w:rsidRPr="00967DBB" w:rsidRDefault="00F0239B" w:rsidP="00F0239B">
      <w:pPr>
        <w:pBdr>
          <w:between w:val="single" w:sz="4" w:space="1" w:color="auto"/>
        </w:pBdr>
        <w:spacing w:after="0" w:line="240" w:lineRule="auto"/>
        <w:rPr>
          <w:rFonts w:ascii="Century Gothic" w:hAnsi="Century Gothic"/>
          <w:b/>
          <w:i/>
          <w:sz w:val="24"/>
          <w:lang w:val="es-PR"/>
        </w:rPr>
      </w:pPr>
      <w:r w:rsidRPr="00967DBB">
        <w:rPr>
          <w:rFonts w:ascii="Century Gothic" w:hAnsi="Century Gothic"/>
          <w:b/>
          <w:i/>
          <w:sz w:val="24"/>
          <w:lang w:val="es-PR"/>
        </w:rPr>
        <w:t xml:space="preserve">Subvención en Bloque para el Desarrollo Comunitario para la Recuperación ante Desastres </w:t>
      </w:r>
    </w:p>
    <w:p w14:paraId="6B4361D7" w14:textId="77777777" w:rsidR="00517EE8" w:rsidRPr="00F0239B" w:rsidRDefault="00517EE8" w:rsidP="00517EE8">
      <w:pPr>
        <w:spacing w:after="0" w:line="240" w:lineRule="auto"/>
        <w:jc w:val="both"/>
        <w:rPr>
          <w:rFonts w:ascii="Century Gothic" w:hAnsi="Century Gothic"/>
          <w:i/>
          <w:sz w:val="12"/>
          <w:szCs w:val="16"/>
          <w:lang w:val="es-PR"/>
        </w:rPr>
      </w:pPr>
    </w:p>
    <w:p w14:paraId="486C23E5" w14:textId="0479D34D" w:rsidR="00A217B6" w:rsidRPr="00A217B6" w:rsidRDefault="00890AA4" w:rsidP="00A217B6">
      <w:pPr>
        <w:pStyle w:val="NormalWeb"/>
        <w:jc w:val="both"/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</w:pPr>
      <w:r w:rsidRPr="00F0239B">
        <w:rPr>
          <w:rFonts w:ascii="Century Gothic" w:hAnsi="Century Gothic"/>
          <w:i/>
          <w:sz w:val="18"/>
          <w:lang w:val="es-PR"/>
        </w:rPr>
        <w:t xml:space="preserve">Esta Lista de Cotejo de Cumplimiento </w:t>
      </w:r>
      <w:r w:rsidR="004B7174">
        <w:rPr>
          <w:rFonts w:ascii="Century Gothic" w:hAnsi="Century Gothic"/>
          <w:i/>
          <w:sz w:val="18"/>
          <w:lang w:val="es-PR"/>
        </w:rPr>
        <w:t xml:space="preserve">incluye </w:t>
      </w:r>
      <w:r w:rsidR="00F0239B" w:rsidRPr="00F0239B">
        <w:rPr>
          <w:rFonts w:ascii="Century Gothic" w:hAnsi="Century Gothic"/>
          <w:i/>
          <w:sz w:val="18"/>
          <w:lang w:val="es-PR"/>
        </w:rPr>
        <w:t>los requisitos establecidos por</w:t>
      </w:r>
      <w:r w:rsidR="004B7174">
        <w:rPr>
          <w:rFonts w:ascii="Century Gothic" w:hAnsi="Century Gothic"/>
          <w:i/>
          <w:sz w:val="18"/>
          <w:lang w:val="es-PR"/>
        </w:rPr>
        <w:t xml:space="preserve"> la Ley</w:t>
      </w:r>
      <w:r w:rsidR="00F0239B" w:rsidRPr="00F0239B">
        <w:rPr>
          <w:rFonts w:ascii="Century Gothic" w:hAnsi="Century Gothic"/>
          <w:i/>
          <w:sz w:val="18"/>
          <w:lang w:val="es-PR"/>
        </w:rPr>
        <w:t xml:space="preserve"> </w:t>
      </w:r>
      <w:proofErr w:type="spellStart"/>
      <w:r w:rsidR="00CE1DA4" w:rsidRPr="00F0239B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URA</w:t>
      </w:r>
      <w:proofErr w:type="spellEnd"/>
      <w:r w:rsidR="00CE1DA4" w:rsidRPr="00F0239B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</w:t>
      </w:r>
      <w:r w:rsidR="006D47C6" w:rsidRPr="006D47C6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con los que deberán cumplir l</w:t>
      </w:r>
      <w:r w:rsidR="00F0239B" w:rsidRPr="006D47C6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os </w:t>
      </w:r>
      <w:proofErr w:type="spellStart"/>
      <w:r w:rsidR="00F0239B" w:rsidRPr="006D47C6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subrec</w:t>
      </w:r>
      <w:r w:rsidR="006E27A3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ipientes</w:t>
      </w:r>
      <w:proofErr w:type="spellEnd"/>
      <w:r w:rsidR="006D47C6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para n</w:t>
      </w:r>
      <w:r w:rsidR="006D47C6" w:rsidRPr="006D47C6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otificar</w:t>
      </w:r>
      <w:r w:rsidR="006D47C6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adecuadamente </w:t>
      </w:r>
      <w:r w:rsidR="006D47C6" w:rsidRPr="006D47C6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a los dueños </w:t>
      </w:r>
      <w:r w:rsidR="00F0239B" w:rsidRPr="006D47C6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de la propiedad que será adquirida</w:t>
      </w:r>
      <w:r w:rsidR="00F0239B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el valor de mercado estimado (adquisiciones voluntarias) o la compensación justa (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adquisiciones involuntarias)</w:t>
      </w:r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que ofrece el </w:t>
      </w:r>
      <w:proofErr w:type="spellStart"/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subrec</w:t>
      </w:r>
      <w:r w:rsidR="006E27A3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ipiente</w:t>
      </w:r>
      <w:proofErr w:type="spellEnd"/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, dando origen al 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Inicio de</w:t>
      </w:r>
      <w:r w:rsidR="006D47C6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las 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Negociaciones (</w:t>
      </w:r>
      <w:r w:rsidR="00F0239B" w:rsidRPr="009B6E95">
        <w:rPr>
          <w:rFonts w:ascii="Century Gothic" w:hAnsi="Century Gothic" w:cs="Calibri Light"/>
          <w:b/>
          <w:i/>
          <w:iCs/>
          <w:color w:val="000000"/>
          <w:sz w:val="18"/>
          <w:szCs w:val="18"/>
          <w:lang w:val="es-PR"/>
        </w:rPr>
        <w:t>I</w:t>
      </w:r>
      <w:r w:rsidR="006D47C6" w:rsidRPr="009B6E95">
        <w:rPr>
          <w:rFonts w:ascii="Century Gothic" w:hAnsi="Century Gothic" w:cs="Calibri Light"/>
          <w:b/>
          <w:i/>
          <w:iCs/>
          <w:color w:val="000000"/>
          <w:sz w:val="18"/>
          <w:szCs w:val="18"/>
          <w:lang w:val="es-PR"/>
        </w:rPr>
        <w:t>O</w:t>
      </w:r>
      <w:r w:rsidR="00F0239B" w:rsidRPr="009B6E95">
        <w:rPr>
          <w:rFonts w:ascii="Century Gothic" w:hAnsi="Century Gothic" w:cs="Calibri Light"/>
          <w:b/>
          <w:i/>
          <w:iCs/>
          <w:color w:val="000000"/>
          <w:sz w:val="18"/>
          <w:szCs w:val="18"/>
          <w:lang w:val="es-PR"/>
        </w:rPr>
        <w:t>N</w:t>
      </w:r>
      <w:r w:rsidR="006D47C6" w:rsidRPr="009B6E95">
        <w:rPr>
          <w:rFonts w:ascii="Century Gothic" w:hAnsi="Century Gothic" w:cs="Calibri Light"/>
          <w:b/>
          <w:i/>
          <w:iCs/>
          <w:color w:val="000000"/>
          <w:sz w:val="18"/>
          <w:szCs w:val="18"/>
          <w:lang w:val="es-PR"/>
        </w:rPr>
        <w:t xml:space="preserve">, </w:t>
      </w:r>
      <w:r w:rsidR="006D47C6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por sus siglas en inglés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). La lista de cotejo </w:t>
      </w:r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también abarca aquella 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documentación que </w:t>
      </w:r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sirva para 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estable</w:t>
      </w:r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cer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que el </w:t>
      </w:r>
      <w:proofErr w:type="spellStart"/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subrec</w:t>
      </w:r>
      <w:r w:rsidR="00FF3EFD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ipiente</w:t>
      </w:r>
      <w:proofErr w:type="spellEnd"/>
      <w:r w:rsidR="00FF3EFD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</w:t>
      </w:r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se ha comunicado 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de manera oportuna con el dueño de la propiedad, </w:t>
      </w:r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ha </w:t>
      </w:r>
      <w:r w:rsidR="004B7174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realizado 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esfuerzos de negociación justa,</w:t>
      </w:r>
      <w:r w:rsidR="00A217B6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</w:t>
      </w:r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ha </w:t>
      </w:r>
      <w:r w:rsidR="00A217B6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proporcionado un periodo de tiempo razonable al dueño para que considere y acepte la oferta y ha </w:t>
      </w:r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establecido u</w:t>
      </w:r>
      <w:r w:rsidR="00A217B6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n acuerdo de </w:t>
      </w:r>
      <w:proofErr w:type="gramStart"/>
      <w:r w:rsidR="00A217B6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compra venta</w:t>
      </w:r>
      <w:proofErr w:type="gramEnd"/>
      <w:r w:rsidR="00A217B6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.</w:t>
      </w:r>
    </w:p>
    <w:p w14:paraId="15E33F80" w14:textId="70ADB871" w:rsidR="00CE1DA4" w:rsidRPr="00A217B6" w:rsidRDefault="00CE1DA4" w:rsidP="00407841">
      <w:pPr>
        <w:pStyle w:val="NormalWeb"/>
        <w:jc w:val="both"/>
        <w:rPr>
          <w:rFonts w:ascii="Century Gothic" w:hAnsi="Century Gothic" w:cs="Calibri Light"/>
          <w:color w:val="000000"/>
          <w:sz w:val="18"/>
          <w:szCs w:val="18"/>
          <w:lang w:val="es-P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"/>
        <w:gridCol w:w="1805"/>
        <w:gridCol w:w="703"/>
        <w:gridCol w:w="1755"/>
        <w:gridCol w:w="90"/>
        <w:gridCol w:w="167"/>
        <w:gridCol w:w="88"/>
        <w:gridCol w:w="178"/>
        <w:gridCol w:w="485"/>
        <w:gridCol w:w="191"/>
        <w:gridCol w:w="262"/>
        <w:gridCol w:w="14"/>
        <w:gridCol w:w="173"/>
        <w:gridCol w:w="394"/>
        <w:gridCol w:w="36"/>
        <w:gridCol w:w="1035"/>
        <w:gridCol w:w="201"/>
        <w:gridCol w:w="63"/>
        <w:gridCol w:w="270"/>
        <w:gridCol w:w="251"/>
        <w:gridCol w:w="11"/>
        <w:gridCol w:w="518"/>
        <w:gridCol w:w="78"/>
        <w:gridCol w:w="182"/>
        <w:gridCol w:w="435"/>
        <w:gridCol w:w="397"/>
        <w:gridCol w:w="968"/>
        <w:gridCol w:w="22"/>
        <w:gridCol w:w="15"/>
      </w:tblGrid>
      <w:tr w:rsidR="009B1A80" w:rsidRPr="00A42442" w14:paraId="6DEFFD7A" w14:textId="77777777" w:rsidTr="002207A4">
        <w:trPr>
          <w:trHeight w:val="288"/>
        </w:trPr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ED7924C" w14:textId="640C533D" w:rsidR="009B1A80" w:rsidRPr="00A42442" w:rsidRDefault="00A217B6" w:rsidP="0046471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1" w:name="_Hlk75938960"/>
            <w:proofErr w:type="spellStart"/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11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F14499F" w14:textId="77777777" w:rsidR="009B1A80" w:rsidRPr="00A42442" w:rsidRDefault="009B1A80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85934B4" w14:textId="77777777" w:rsidR="009B1A80" w:rsidRPr="00A42442" w:rsidRDefault="009B1A80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1478BFF" w14:textId="77777777" w:rsidR="009B1A80" w:rsidRPr="00A42442" w:rsidRDefault="009B1A80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0D28EBB" w14:textId="77777777" w:rsidR="009B1A80" w:rsidRPr="00A42442" w:rsidRDefault="009B1A80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8BA4E48" w14:textId="77777777" w:rsidR="009B1A80" w:rsidRPr="00A42442" w:rsidRDefault="009B1A80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E5A22C2" w14:textId="77777777" w:rsidR="009B1A80" w:rsidRPr="00A42442" w:rsidRDefault="009B1A80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2F43709" w14:textId="77777777" w:rsidR="009B1A80" w:rsidRPr="00A42442" w:rsidRDefault="009B1A80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B1A80" w:rsidRPr="00A42442" w14:paraId="5F8C7733" w14:textId="77777777" w:rsidTr="002207A4">
        <w:trPr>
          <w:trHeight w:val="63"/>
        </w:trPr>
        <w:tc>
          <w:tcPr>
            <w:tcW w:w="84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2ADC2DC8" w14:textId="77777777" w:rsidR="009B1A80" w:rsidRPr="00A42442" w:rsidRDefault="009B1A80" w:rsidP="00464715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BD510D2" w14:textId="77777777" w:rsidR="009B1A80" w:rsidRPr="00A42442" w:rsidRDefault="009B1A80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7F326DA" w14:textId="77777777" w:rsidR="009B1A80" w:rsidRPr="00A42442" w:rsidRDefault="009B1A80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6263583" w14:textId="77777777" w:rsidR="009B1A80" w:rsidRPr="00A42442" w:rsidRDefault="009B1A80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2DFC4E5" w14:textId="77777777" w:rsidR="009B1A80" w:rsidRPr="00A42442" w:rsidRDefault="009B1A80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D916B05" w14:textId="77777777" w:rsidR="009B1A80" w:rsidRPr="00A42442" w:rsidRDefault="009B1A80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EC372E4" w14:textId="77777777" w:rsidR="009B1A80" w:rsidRPr="00A42442" w:rsidRDefault="009B1A80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9" w:type="pct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7B1B40A8" w14:textId="77777777" w:rsidR="009B1A80" w:rsidRPr="00A42442" w:rsidRDefault="009B1A80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B1A80" w:rsidRPr="00546717" w14:paraId="24A3F0AF" w14:textId="77777777" w:rsidTr="002207A4">
        <w:trPr>
          <w:trHeight w:val="288"/>
        </w:trPr>
        <w:tc>
          <w:tcPr>
            <w:tcW w:w="1168" w:type="pct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2AC5B745" w14:textId="6C1A7073" w:rsidR="009B1A80" w:rsidRPr="0090782E" w:rsidRDefault="00A217B6" w:rsidP="00464715">
            <w:pPr>
              <w:rPr>
                <w:rFonts w:ascii="Century Gothic" w:hAnsi="Century Gothic"/>
                <w:sz w:val="16"/>
                <w:szCs w:val="16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Nombre </w:t>
            </w:r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del </w:t>
            </w:r>
            <w:proofErr w:type="spellStart"/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FF3EFD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>/Entidad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7E14A070" w14:textId="77777777" w:rsidR="009B1A80" w:rsidRPr="0090782E" w:rsidRDefault="009B1A80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85BE8BD" w14:textId="77777777" w:rsidR="009B1A80" w:rsidRPr="0090782E" w:rsidRDefault="009B1A80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0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58863E8B" w14:textId="77777777" w:rsidR="00FF3EFD" w:rsidRDefault="00A217B6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Punto de Contacto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del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FF3EFD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</w:p>
          <w:p w14:paraId="78FC84D5" w14:textId="4D58D6D9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2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0A80C80F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0987917D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0E51811" w14:textId="53D5E76D" w:rsidR="009B1A80" w:rsidRPr="00A217B6" w:rsidRDefault="00A217B6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Teléfono del Punto de Contacto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5FD90BBB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9B1A80" w:rsidRPr="00546717" w14:paraId="18E9E12F" w14:textId="77777777" w:rsidTr="002207A4">
        <w:trPr>
          <w:trHeight w:val="288"/>
        </w:trPr>
        <w:tc>
          <w:tcPr>
            <w:tcW w:w="1168" w:type="pct"/>
            <w:gridSpan w:val="3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405524B1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1D6D8035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CDC25EF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0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74A7E989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2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68B710F2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52120E92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19C5DE25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56E7E285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9B1A80" w:rsidRPr="00546717" w14:paraId="6A8E62EE" w14:textId="77777777" w:rsidTr="002207A4">
        <w:trPr>
          <w:trHeight w:val="513"/>
        </w:trPr>
        <w:tc>
          <w:tcPr>
            <w:tcW w:w="116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5F708BE2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BB345B3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785D3BF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41919A2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2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1F92E1F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F6B4609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16A9AE4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49" w:type="pct"/>
            <w:gridSpan w:val="4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31C4EB94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9B1A80" w:rsidRPr="00A42442" w14:paraId="45695310" w14:textId="77777777" w:rsidTr="002207A4">
        <w:trPr>
          <w:trHeight w:val="269"/>
        </w:trPr>
        <w:tc>
          <w:tcPr>
            <w:tcW w:w="116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73764051" w14:textId="4C2F50CD" w:rsidR="009B1A80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Nombre del Programa CDBG-</w:t>
            </w:r>
            <w:proofErr w:type="spellStart"/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DR</w:t>
            </w:r>
            <w:proofErr w:type="spellEnd"/>
            <w:r w:rsidRPr="00A217B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1A8E46EF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F43FAB1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4DF53729" w14:textId="77777777" w:rsidR="009B1A80" w:rsidRPr="0090782E" w:rsidRDefault="009B1A80" w:rsidP="00464715">
            <w:pPr>
              <w:rPr>
                <w:rFonts w:ascii="Century Gothic" w:hAnsi="Century Gothic"/>
                <w:sz w:val="16"/>
                <w:szCs w:val="16"/>
              </w:rPr>
            </w:pPr>
            <w:r w:rsidRPr="0090782E">
              <w:rPr>
                <w:rFonts w:ascii="Century Gothic" w:hAnsi="Century Gothic"/>
                <w:sz w:val="16"/>
                <w:szCs w:val="16"/>
              </w:rPr>
              <w:t>Application ID</w:t>
            </w:r>
          </w:p>
        </w:tc>
        <w:tc>
          <w:tcPr>
            <w:tcW w:w="92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5351F816" w14:textId="77777777" w:rsidR="009B1A80" w:rsidRPr="0090782E" w:rsidRDefault="009B1A80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0AA735D1" w14:textId="77777777" w:rsidR="009B1A80" w:rsidRPr="0090782E" w:rsidRDefault="009B1A80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BC853E3" w14:textId="77777777" w:rsidR="009B1A80" w:rsidRPr="0090782E" w:rsidRDefault="009B1A80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9" w:type="pct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5F4717CF" w14:textId="77777777" w:rsidR="009B1A80" w:rsidRPr="0090782E" w:rsidRDefault="009B1A80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B1A80" w:rsidRPr="00A42442" w14:paraId="054150C1" w14:textId="77777777" w:rsidTr="002207A4">
        <w:trPr>
          <w:trHeight w:val="44"/>
        </w:trPr>
        <w:tc>
          <w:tcPr>
            <w:tcW w:w="116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74A4781B" w14:textId="77777777" w:rsidR="009B1A80" w:rsidRPr="0090782E" w:rsidRDefault="009B1A80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4A0A834" w14:textId="77777777" w:rsidR="009B1A80" w:rsidRPr="0090782E" w:rsidRDefault="009B1A80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261D199" w14:textId="77777777" w:rsidR="009B1A80" w:rsidRPr="0090782E" w:rsidRDefault="009B1A80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DB293F9" w14:textId="77777777" w:rsidR="009B1A80" w:rsidRPr="0090782E" w:rsidRDefault="009B1A80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6E3BCE8" w14:textId="77777777" w:rsidR="009B1A80" w:rsidRPr="0090782E" w:rsidRDefault="009B1A80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29D2EE05" w14:textId="77777777" w:rsidR="009B1A80" w:rsidRPr="0090782E" w:rsidRDefault="009B1A80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C01F236" w14:textId="77777777" w:rsidR="009B1A80" w:rsidRPr="0090782E" w:rsidRDefault="009B1A80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9" w:type="pct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11B5C488" w14:textId="77777777" w:rsidR="009B1A80" w:rsidRPr="0090782E" w:rsidRDefault="009B1A80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B1A80" w:rsidRPr="00A42442" w14:paraId="2E650ED7" w14:textId="77777777" w:rsidTr="002207A4">
        <w:trPr>
          <w:trHeight w:val="315"/>
        </w:trPr>
        <w:tc>
          <w:tcPr>
            <w:tcW w:w="5000" w:type="pct"/>
            <w:gridSpan w:val="2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C3AA32" w14:textId="77777777" w:rsidR="009B1A80" w:rsidRPr="0090782E" w:rsidRDefault="009B1A80" w:rsidP="00464715">
            <w:pPr>
              <w:ind w:left="-21"/>
              <w:rPr>
                <w:rFonts w:ascii="Century Gothic" w:hAnsi="Century Gothic"/>
                <w:sz w:val="18"/>
                <w:szCs w:val="18"/>
              </w:rPr>
            </w:pPr>
            <w:r w:rsidRPr="0090782E">
              <w:rPr>
                <w:rFonts w:ascii="Century Gothic" w:hAnsi="Century Gothic"/>
                <w:b/>
                <w:bCs/>
                <w:sz w:val="16"/>
                <w:szCs w:val="16"/>
              </w:rPr>
              <w:t>PROPERTY INFORMATION</w:t>
            </w:r>
          </w:p>
        </w:tc>
      </w:tr>
      <w:tr w:rsidR="009B1A80" w:rsidRPr="00546717" w14:paraId="54A1F8F2" w14:textId="77777777" w:rsidTr="002207A4">
        <w:trPr>
          <w:trHeight w:val="288"/>
        </w:trPr>
        <w:tc>
          <w:tcPr>
            <w:tcW w:w="1168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75F71D4D" w14:textId="35C2A114" w:rsidR="009B1A80" w:rsidRPr="00A217B6" w:rsidRDefault="00A217B6" w:rsidP="00CF4F4A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Dirección de la Propiedad Inmueble que será Adquirida, o </w:t>
            </w:r>
            <w:r w:rsidR="004B7174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del </w:t>
            </w:r>
            <w:r w:rsidR="00CF4F4A">
              <w:rPr>
                <w:rFonts w:ascii="Century Gothic" w:hAnsi="Century Gothic"/>
                <w:sz w:val="16"/>
                <w:szCs w:val="16"/>
                <w:lang w:val="es-PR"/>
              </w:rPr>
              <w:t>solar</w:t>
            </w:r>
            <w:r w:rsidR="004B7174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del Proyecto</w:t>
            </w:r>
          </w:p>
        </w:tc>
        <w:tc>
          <w:tcPr>
            <w:tcW w:w="1370" w:type="pct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42C12F4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9DFD768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64" w:type="pct"/>
            <w:gridSpan w:val="5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2B579689" w14:textId="04337D35" w:rsidR="009B1A80" w:rsidRPr="00A217B6" w:rsidRDefault="00A217B6" w:rsidP="00464715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Descripción Legal de la Propiedad </w:t>
            </w:r>
            <w:r w:rsidR="00FF3EFD">
              <w:rPr>
                <w:rFonts w:ascii="Century Gothic" w:hAnsi="Century Gothic"/>
                <w:sz w:val="16"/>
                <w:szCs w:val="16"/>
                <w:lang w:val="es-PR"/>
              </w:rPr>
              <w:t xml:space="preserve">según el Registro de la </w:t>
            </w:r>
            <w:r w:rsidR="00546717">
              <w:rPr>
                <w:rFonts w:ascii="Century Gothic" w:hAnsi="Century Gothic"/>
                <w:sz w:val="16"/>
                <w:szCs w:val="16"/>
                <w:lang w:val="es-PR"/>
              </w:rPr>
              <w:t>Propiedad</w:t>
            </w:r>
            <w:r w:rsidR="00546717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(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Si está disponible</w:t>
            </w:r>
            <w:r w:rsidR="009B1A80" w:rsidRPr="00A217B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122" w:type="pct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A36D2DF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55" w:type="pct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04448B55" w14:textId="77777777" w:rsidR="009B1A80" w:rsidRPr="00A217B6" w:rsidRDefault="009B1A80" w:rsidP="0046471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9B1A80" w:rsidRPr="00546717" w14:paraId="0C6C5B08" w14:textId="77777777" w:rsidTr="002207A4">
        <w:trPr>
          <w:trHeight w:val="288"/>
        </w:trPr>
        <w:tc>
          <w:tcPr>
            <w:tcW w:w="1168" w:type="pct"/>
            <w:gridSpan w:val="3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64D8372D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55C99C54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27F1A55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6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51220439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108D447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6AC46BE7" w14:textId="77777777" w:rsidR="009B1A80" w:rsidRPr="00A217B6" w:rsidRDefault="009B1A80" w:rsidP="0046471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9B1A80" w:rsidRPr="00546717" w14:paraId="7716A9EF" w14:textId="77777777" w:rsidTr="002207A4">
        <w:trPr>
          <w:trHeight w:val="288"/>
        </w:trPr>
        <w:tc>
          <w:tcPr>
            <w:tcW w:w="1168" w:type="pct"/>
            <w:gridSpan w:val="3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33ECFAC7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55D78F7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DF658F3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6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EBF251D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5FFA446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7B4DE9FE" w14:textId="77777777" w:rsidR="009B1A80" w:rsidRPr="00A217B6" w:rsidRDefault="009B1A80" w:rsidP="0046471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9B1A80" w:rsidRPr="00546717" w14:paraId="03DAB352" w14:textId="77777777" w:rsidTr="002207A4">
        <w:trPr>
          <w:trHeight w:val="305"/>
        </w:trPr>
        <w:tc>
          <w:tcPr>
            <w:tcW w:w="116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3B822EFC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7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C514873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5552185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DF3B891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9FC76EF" w14:textId="77777777" w:rsidR="009B1A80" w:rsidRPr="00A217B6" w:rsidRDefault="009B1A80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056B63A7" w14:textId="77777777" w:rsidR="009B1A80" w:rsidRPr="00A217B6" w:rsidRDefault="009B1A80" w:rsidP="0046471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bookmarkEnd w:id="1"/>
      <w:tr w:rsidR="00A217B6" w:rsidRPr="00546717" w14:paraId="443AF2A5" w14:textId="77777777" w:rsidTr="002207A4">
        <w:trPr>
          <w:trHeight w:val="305"/>
        </w:trPr>
        <w:tc>
          <w:tcPr>
            <w:tcW w:w="116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32E6F2C1" w14:textId="25E688EB" w:rsidR="00A217B6" w:rsidRPr="00A217B6" w:rsidRDefault="00A217B6" w:rsidP="00A217B6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Número de Catastro del </w:t>
            </w:r>
            <w:proofErr w:type="spellStart"/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CRIM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(Si está disponible)</w:t>
            </w:r>
          </w:p>
        </w:tc>
        <w:tc>
          <w:tcPr>
            <w:tcW w:w="137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60FBAF5A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282F659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5318853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847C9BF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55" w:type="pct"/>
            <w:gridSpan w:val="11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351365F3" w14:textId="77777777" w:rsidR="00A217B6" w:rsidRPr="00A217B6" w:rsidRDefault="00A217B6" w:rsidP="00A217B6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A217B6" w:rsidRPr="00546717" w14:paraId="54654067" w14:textId="77777777" w:rsidTr="002207A4">
        <w:trPr>
          <w:trHeight w:val="152"/>
        </w:trPr>
        <w:tc>
          <w:tcPr>
            <w:tcW w:w="116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247B75D7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7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F64810A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DB71E7F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519BB04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72849DE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55" w:type="pct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1FA69315" w14:textId="77777777" w:rsidR="00A217B6" w:rsidRPr="00A217B6" w:rsidRDefault="00A217B6" w:rsidP="00A217B6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A217B6" w:rsidRPr="00546717" w14:paraId="6DE678A2" w14:textId="77777777" w:rsidTr="002207A4">
        <w:trPr>
          <w:gridAfter w:val="1"/>
          <w:wAfter w:w="6" w:type="pct"/>
          <w:trHeight w:val="324"/>
        </w:trPr>
        <w:tc>
          <w:tcPr>
            <w:tcW w:w="4994" w:type="pct"/>
            <w:gridSpan w:val="2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649CF6" w14:textId="7FA7E978" w:rsidR="00A217B6" w:rsidRPr="00A217B6" w:rsidRDefault="00A217B6" w:rsidP="009B6E9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INFORMACIÓN </w:t>
            </w:r>
            <w:r w:rsidR="009B6E95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SOBRE</w:t>
            </w: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 LA LISTA DE COTEJO</w:t>
            </w:r>
          </w:p>
        </w:tc>
      </w:tr>
      <w:tr w:rsidR="00A217B6" w:rsidRPr="00546717" w14:paraId="3990C953" w14:textId="77777777" w:rsidTr="002207A4">
        <w:tc>
          <w:tcPr>
            <w:tcW w:w="1168" w:type="pct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3DAED4F0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772BDF37" w14:textId="5DA90DE5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Lista de cotejo completada por 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(nombre)</w:t>
            </w:r>
          </w:p>
        </w:tc>
        <w:tc>
          <w:tcPr>
            <w:tcW w:w="813" w:type="pct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691F2DA0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C263BA6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43" w:type="pct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11CB380F" w14:textId="3CDB03BA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la Lista de Cotejo 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(nombre</w:t>
            </w:r>
            <w:r w:rsidRPr="00316432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1087" w:type="pct"/>
            <w:gridSpan w:val="7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3C324887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</w:tcPr>
          <w:p w14:paraId="70153BE8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9A81D74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49" w:type="pct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417ED3D1" w14:textId="77777777" w:rsidR="00A217B6" w:rsidRPr="00A217B6" w:rsidRDefault="00A217B6" w:rsidP="00A217B6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A217B6" w:rsidRPr="00546717" w14:paraId="001669E0" w14:textId="77777777" w:rsidTr="002207A4">
        <w:trPr>
          <w:trHeight w:val="413"/>
        </w:trPr>
        <w:tc>
          <w:tcPr>
            <w:tcW w:w="116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02884B2D" w14:textId="5304E48E" w:rsidR="00A217B6" w:rsidRPr="00A217B6" w:rsidRDefault="004B7174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Revisor del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s-PR"/>
              </w:rPr>
              <w:t>QA</w:t>
            </w:r>
            <w:proofErr w:type="spellEnd"/>
            <w:r w:rsidR="00A217B6" w:rsidRPr="00967DBB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s-PR"/>
              </w:rPr>
              <w:t>Q</w:t>
            </w:r>
            <w:r w:rsidR="00A217B6" w:rsidRPr="00967DBB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  <w:proofErr w:type="spellEnd"/>
          </w:p>
        </w:tc>
        <w:tc>
          <w:tcPr>
            <w:tcW w:w="813" w:type="pct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41B89E8B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2A6FFE1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698C8E8A" w14:textId="7415CEB1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el </w:t>
            </w:r>
            <w:proofErr w:type="spellStart"/>
            <w:r w:rsidR="004B7174">
              <w:rPr>
                <w:rFonts w:ascii="Century Gothic" w:hAnsi="Century Gothic"/>
                <w:sz w:val="16"/>
                <w:szCs w:val="16"/>
                <w:lang w:val="es-PR"/>
              </w:rPr>
              <w:t>QA</w:t>
            </w:r>
            <w:proofErr w:type="spellEnd"/>
            <w:r w:rsidR="004B7174" w:rsidRPr="00967DBB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proofErr w:type="spellStart"/>
            <w:r w:rsidR="004B7174">
              <w:rPr>
                <w:rFonts w:ascii="Century Gothic" w:hAnsi="Century Gothic"/>
                <w:sz w:val="16"/>
                <w:szCs w:val="16"/>
                <w:lang w:val="es-PR"/>
              </w:rPr>
              <w:t>Q</w:t>
            </w:r>
            <w:r w:rsidR="004B7174" w:rsidRPr="00967DBB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  <w:proofErr w:type="spellEnd"/>
          </w:p>
        </w:tc>
        <w:tc>
          <w:tcPr>
            <w:tcW w:w="1087" w:type="pct"/>
            <w:gridSpan w:val="7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5045465C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0CA9056D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B41DD72" w14:textId="77777777" w:rsidR="00A217B6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49" w:type="pct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38D936C1" w14:textId="77777777" w:rsidR="00A217B6" w:rsidRPr="00A217B6" w:rsidRDefault="00A217B6" w:rsidP="00A217B6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A217B6" w:rsidRPr="00546717" w14:paraId="22A038CC" w14:textId="77777777" w:rsidTr="002207A4">
        <w:tc>
          <w:tcPr>
            <w:tcW w:w="1168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76E86F18" w14:textId="77777777" w:rsidR="00A217B6" w:rsidRPr="00A217B6" w:rsidRDefault="00A217B6" w:rsidP="00A217B6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13" w:type="pct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4DFAD8D1" w14:textId="77777777" w:rsidR="00A217B6" w:rsidRPr="00A217B6" w:rsidRDefault="00A217B6" w:rsidP="00A217B6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2B5C9D2C" w14:textId="77777777" w:rsidR="00A217B6" w:rsidRPr="00A217B6" w:rsidRDefault="00A217B6" w:rsidP="00A217B6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43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1B067342" w14:textId="77777777" w:rsidR="00A217B6" w:rsidRPr="00A217B6" w:rsidRDefault="00A217B6" w:rsidP="00A217B6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72" w:type="pct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61806F62" w14:textId="77777777" w:rsidR="00A217B6" w:rsidRPr="00A217B6" w:rsidRDefault="00A217B6" w:rsidP="00A217B6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</w:tcPr>
          <w:p w14:paraId="173DFC96" w14:textId="77777777" w:rsidR="00A217B6" w:rsidRPr="00A217B6" w:rsidRDefault="00A217B6" w:rsidP="00A217B6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65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400FD53E" w14:textId="77777777" w:rsidR="00A217B6" w:rsidRPr="00A217B6" w:rsidRDefault="00A217B6" w:rsidP="00A217B6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649" w:type="pct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3A7481B1" w14:textId="77777777" w:rsidR="00A217B6" w:rsidRPr="00A217B6" w:rsidRDefault="00A217B6" w:rsidP="00A217B6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A217B6" w:rsidRPr="00BC652C" w14:paraId="2E924662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" w:type="pct"/>
          <w:wAfter w:w="16" w:type="pct"/>
        </w:trPr>
        <w:tc>
          <w:tcPr>
            <w:tcW w:w="497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00B5A41" w14:textId="0500CDB2" w:rsidR="00A217B6" w:rsidRPr="004B7174" w:rsidRDefault="00A217B6" w:rsidP="00A217B6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Instrucciones</w:t>
            </w:r>
          </w:p>
        </w:tc>
      </w:tr>
      <w:tr w:rsidR="00A217B6" w:rsidRPr="00546717" w14:paraId="424A3327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" w:type="pct"/>
          <w:wAfter w:w="16" w:type="pct"/>
        </w:trPr>
        <w:tc>
          <w:tcPr>
            <w:tcW w:w="497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2D30C8" w14:textId="4A2F9B1B" w:rsidR="00A217B6" w:rsidRPr="004B7174" w:rsidRDefault="008D7C4E" w:rsidP="00A217B6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Debe completarse esta lista de </w:t>
            </w:r>
            <w:r w:rsidR="009B6E95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co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tejo p</w:t>
            </w:r>
            <w:r w:rsidR="009B6E95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or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u w:val="single"/>
                <w:lang w:val="es-PR"/>
              </w:rPr>
              <w:t>cada parcela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de propiedad inmueble que será adquirida por un </w:t>
            </w:r>
            <w:proofErr w:type="spellStart"/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subrec</w:t>
            </w:r>
            <w:r w:rsidR="00FF3EFD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ipiente</w:t>
            </w:r>
            <w:proofErr w:type="spellEnd"/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en conjunto con un proyecto financiado con fondos CDBG-DR</w:t>
            </w:r>
            <w:r w:rsidR="00A217B6"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. </w:t>
            </w:r>
          </w:p>
          <w:p w14:paraId="23FFA9E5" w14:textId="22258C83" w:rsidR="00A217B6" w:rsidRPr="004B7174" w:rsidRDefault="00A217B6" w:rsidP="00A217B6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</w:p>
          <w:p w14:paraId="158C3AA9" w14:textId="1F5E41D6" w:rsidR="00A217B6" w:rsidRPr="004B7174" w:rsidRDefault="008D7C4E" w:rsidP="008D7C4E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En el caso de adquisiciones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u w:val="single"/>
                <w:lang w:val="es-PR"/>
              </w:rPr>
              <w:t>involuntarias</w:t>
            </w:r>
            <w:r w:rsidR="00A217B6"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,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se debe documentar los esfuerzos realizados por el </w:t>
            </w:r>
            <w:proofErr w:type="spellStart"/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su</w:t>
            </w:r>
            <w:r w:rsid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b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rec</w:t>
            </w:r>
            <w:r w:rsidR="00FF3EFD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ipiente</w:t>
            </w:r>
            <w:proofErr w:type="spellEnd"/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para llegar a un acuerdo negociado antes de </w:t>
            </w:r>
            <w:r w:rsidR="009B6E95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considerar un acuerdo administrativo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o </w:t>
            </w:r>
            <w:r w:rsidR="009B6E95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la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expropiación. Todas las propuestas </w:t>
            </w:r>
            <w:r w:rsidR="009B6E95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para alcanzar </w:t>
            </w:r>
            <w:proofErr w:type="gramStart"/>
            <w:r w:rsidR="009B6E95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un  acuerdo</w:t>
            </w:r>
            <w:proofErr w:type="gramEnd"/>
            <w:r w:rsidR="009B6E95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administrativo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y </w:t>
            </w:r>
            <w:r w:rsidR="009B6E95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solicitudes de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expropiación deberán ser revisadas y aprobadas primero por </w:t>
            </w:r>
            <w:r w:rsidR="009B6E95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Vivienda</w:t>
            </w:r>
            <w:r w:rsidR="00A217B6"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.</w:t>
            </w:r>
          </w:p>
          <w:p w14:paraId="54E94104" w14:textId="13701ADC" w:rsidR="00A217B6" w:rsidRPr="004B7174" w:rsidRDefault="00A217B6" w:rsidP="00A217B6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</w:p>
          <w:p w14:paraId="70FF3AEC" w14:textId="7E107F36" w:rsidR="008D7C4E" w:rsidRPr="004B7174" w:rsidRDefault="008D7C4E" w:rsidP="00A217B6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En el caso de adquisiciones </w:t>
            </w:r>
            <w:r w:rsidR="00A217B6" w:rsidRPr="004B7174">
              <w:rPr>
                <w:rFonts w:ascii="Century Gothic" w:hAnsi="Century Gothic" w:cs="Calibri Light"/>
                <w:color w:val="000000"/>
                <w:sz w:val="18"/>
                <w:szCs w:val="18"/>
                <w:u w:val="single"/>
                <w:lang w:val="es-PR"/>
              </w:rPr>
              <w:t>voluntar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u w:val="single"/>
                <w:lang w:val="es-PR"/>
              </w:rPr>
              <w:t>ias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, si las negoci</w:t>
            </w:r>
            <w:r w:rsidR="009B6E95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ones no culminan en el establecimiento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de un acuerdo, el </w:t>
            </w:r>
            <w:proofErr w:type="spellStart"/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subrec</w:t>
            </w:r>
            <w:r w:rsidR="00FF3EFD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ipiente</w:t>
            </w:r>
            <w:proofErr w:type="spellEnd"/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deberá cesar sus esfuerzos de adquirir la propiedad. Note que los reglamentos de </w:t>
            </w:r>
            <w:proofErr w:type="spellStart"/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URA</w:t>
            </w:r>
            <w:proofErr w:type="spellEnd"/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prohíben que se emplee el método de adquisición </w:t>
            </w:r>
            <w:r w:rsidR="009B6E95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in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voluntaria si ya se empleó el método de adquisición voluntaria.  </w:t>
            </w:r>
          </w:p>
          <w:p w14:paraId="173656B8" w14:textId="77777777" w:rsidR="008D7C4E" w:rsidRPr="004B7174" w:rsidRDefault="008D7C4E" w:rsidP="00A217B6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</w:p>
          <w:p w14:paraId="6EB21E88" w14:textId="797C275C" w:rsidR="00A217B6" w:rsidRPr="004B7174" w:rsidRDefault="008D7C4E" w:rsidP="002207A4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/>
                <w:sz w:val="18"/>
                <w:szCs w:val="18"/>
                <w:lang w:val="es-PR"/>
              </w:rPr>
              <w:t xml:space="preserve">El </w:t>
            </w:r>
            <w:proofErr w:type="spellStart"/>
            <w:r w:rsidRPr="004B7174">
              <w:rPr>
                <w:rFonts w:ascii="Century Gothic" w:hAnsi="Century Gothic"/>
                <w:sz w:val="18"/>
                <w:szCs w:val="18"/>
                <w:lang w:val="es-PR"/>
              </w:rPr>
              <w:t>Subrec</w:t>
            </w:r>
            <w:r w:rsidR="00FF3EFD">
              <w:rPr>
                <w:rFonts w:ascii="Century Gothic" w:hAnsi="Century Gothic"/>
                <w:sz w:val="18"/>
                <w:szCs w:val="18"/>
                <w:lang w:val="es-PR"/>
              </w:rPr>
              <w:t>ipiente</w:t>
            </w:r>
            <w:proofErr w:type="spellEnd"/>
            <w:r w:rsidRPr="004B7174">
              <w:rPr>
                <w:rFonts w:ascii="Century Gothic" w:hAnsi="Century Gothic"/>
                <w:sz w:val="18"/>
                <w:szCs w:val="18"/>
                <w:lang w:val="es-PR"/>
              </w:rPr>
              <w:t xml:space="preserve"> debe responder Sí, No, o N/A en cada ítem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y proveer la documentación de </w:t>
            </w:r>
            <w:r w:rsidRPr="009B6E95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apoyo</w:t>
            </w:r>
            <w:r w:rsidRPr="009B6E95">
              <w:rPr>
                <w:rFonts w:ascii="Century Gothic" w:hAnsi="Century Gothic"/>
                <w:sz w:val="18"/>
                <w:szCs w:val="18"/>
                <w:lang w:val="es-PR"/>
              </w:rPr>
              <w:t>, si aplica, para demostrar que cada ítem en la lista de cotejo fue completado. La lista de cotejo completada deberá presentarse para que se realice una revisión de Garantía de Calidad y Control de Calidad (</w:t>
            </w:r>
            <w:proofErr w:type="spellStart"/>
            <w:r w:rsidRPr="009B6E95">
              <w:rPr>
                <w:rFonts w:ascii="Century Gothic" w:hAnsi="Century Gothic"/>
                <w:b/>
                <w:sz w:val="18"/>
                <w:szCs w:val="18"/>
                <w:lang w:val="es-PR"/>
              </w:rPr>
              <w:t>GC</w:t>
            </w:r>
            <w:proofErr w:type="spellEnd"/>
            <w:r w:rsidRPr="009B6E95">
              <w:rPr>
                <w:rFonts w:ascii="Century Gothic" w:hAnsi="Century Gothic"/>
                <w:b/>
                <w:sz w:val="18"/>
                <w:szCs w:val="18"/>
                <w:lang w:val="es-PR"/>
              </w:rPr>
              <w:t>/CC</w:t>
            </w:r>
            <w:r w:rsidRPr="009B6E95">
              <w:rPr>
                <w:rFonts w:ascii="Century Gothic" w:hAnsi="Century Gothic"/>
                <w:sz w:val="18"/>
                <w:szCs w:val="18"/>
                <w:lang w:val="es-PR"/>
              </w:rPr>
              <w:t xml:space="preserve">). </w:t>
            </w:r>
            <w:r w:rsidR="009B6E95">
              <w:rPr>
                <w:rFonts w:ascii="Century Gothic" w:hAnsi="Century Gothic"/>
                <w:sz w:val="18"/>
                <w:szCs w:val="18"/>
                <w:lang w:val="es-PR"/>
              </w:rPr>
              <w:t xml:space="preserve">El revisor </w:t>
            </w:r>
            <w:r w:rsidRPr="004B7174">
              <w:rPr>
                <w:rFonts w:ascii="Century Gothic" w:hAnsi="Century Gothic"/>
                <w:sz w:val="18"/>
                <w:szCs w:val="18"/>
                <w:lang w:val="es-PR"/>
              </w:rPr>
              <w:t xml:space="preserve">de </w:t>
            </w:r>
            <w:proofErr w:type="spellStart"/>
            <w:r w:rsidRPr="004B7174">
              <w:rPr>
                <w:rFonts w:ascii="Century Gothic" w:hAnsi="Century Gothic"/>
                <w:sz w:val="18"/>
                <w:szCs w:val="18"/>
                <w:lang w:val="es-PR"/>
              </w:rPr>
              <w:t>GC</w:t>
            </w:r>
            <w:proofErr w:type="spellEnd"/>
            <w:r w:rsidRPr="004B7174">
              <w:rPr>
                <w:rFonts w:ascii="Century Gothic" w:hAnsi="Century Gothic"/>
                <w:sz w:val="18"/>
                <w:szCs w:val="18"/>
                <w:lang w:val="es-PR"/>
              </w:rPr>
              <w:t xml:space="preserve">/CC deberá confirmar que el </w:t>
            </w:r>
            <w:proofErr w:type="spellStart"/>
            <w:r w:rsidRPr="004B7174">
              <w:rPr>
                <w:rFonts w:ascii="Century Gothic" w:hAnsi="Century Gothic"/>
                <w:sz w:val="18"/>
                <w:szCs w:val="18"/>
                <w:lang w:val="es-PR"/>
              </w:rPr>
              <w:t>Subrec</w:t>
            </w:r>
            <w:r w:rsidR="00687C91">
              <w:rPr>
                <w:rFonts w:ascii="Century Gothic" w:hAnsi="Century Gothic"/>
                <w:sz w:val="18"/>
                <w:szCs w:val="18"/>
                <w:lang w:val="es-PR"/>
              </w:rPr>
              <w:t>ipiente</w:t>
            </w:r>
            <w:proofErr w:type="spellEnd"/>
            <w:r w:rsidRPr="004B7174">
              <w:rPr>
                <w:rFonts w:ascii="Century Gothic" w:hAnsi="Century Gothic"/>
                <w:sz w:val="18"/>
                <w:szCs w:val="18"/>
                <w:lang w:val="es-PR"/>
              </w:rPr>
              <w:t xml:space="preserve"> ha cumplido con todos los requisitos de la lista de cotejo y que ha suministrado la documentación correspondiente. Cualquier comentario adicional </w:t>
            </w:r>
            <w:r w:rsidR="00020C72">
              <w:rPr>
                <w:rFonts w:ascii="Century Gothic" w:hAnsi="Century Gothic"/>
                <w:sz w:val="18"/>
                <w:szCs w:val="18"/>
                <w:lang w:val="es-PR"/>
              </w:rPr>
              <w:t xml:space="preserve">sobre </w:t>
            </w:r>
            <w:r w:rsidRPr="004B7174">
              <w:rPr>
                <w:rFonts w:ascii="Century Gothic" w:hAnsi="Century Gothic"/>
                <w:sz w:val="18"/>
                <w:szCs w:val="18"/>
                <w:lang w:val="es-PR"/>
              </w:rPr>
              <w:t>la revisión podrá documentarse al final de la lista de cotejo.</w:t>
            </w:r>
          </w:p>
        </w:tc>
      </w:tr>
      <w:tr w:rsidR="00270B46" w:rsidRPr="00546717" w14:paraId="63D6CB0E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rPr>
          <w:tblHeader/>
        </w:trPr>
        <w:tc>
          <w:tcPr>
            <w:tcW w:w="2225" w:type="pct"/>
            <w:gridSpan w:val="8"/>
            <w:tcBorders>
              <w:top w:val="nil"/>
              <w:bottom w:val="dotted" w:sz="4" w:space="0" w:color="auto"/>
              <w:right w:val="nil"/>
            </w:tcBorders>
            <w:shd w:val="clear" w:color="auto" w:fill="808080" w:themeFill="background1" w:themeFillShade="80"/>
          </w:tcPr>
          <w:p w14:paraId="30886F35" w14:textId="5E0C8180" w:rsidR="00621817" w:rsidRPr="00A217B6" w:rsidRDefault="00A217B6" w:rsidP="00A217B6">
            <w:pPr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</w:pPr>
            <w:r w:rsidRPr="00A217B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lastRenderedPageBreak/>
              <w:t>LISTA DE COTEJO DE LAS NEGOCIACIONES</w:t>
            </w:r>
          </w:p>
        </w:tc>
        <w:tc>
          <w:tcPr>
            <w:tcW w:w="22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808080" w:themeFill="background1" w:themeFillShade="80"/>
          </w:tcPr>
          <w:p w14:paraId="7D1EFE79" w14:textId="77777777" w:rsidR="00621817" w:rsidRPr="00A217B6" w:rsidRDefault="00621817" w:rsidP="002E5A8A">
            <w:pPr>
              <w:rPr>
                <w:rFonts w:ascii="Century Gothic" w:hAnsi="Century Gothic"/>
                <w:b/>
                <w:bCs/>
                <w:lang w:val="es-PR"/>
              </w:rPr>
            </w:pPr>
          </w:p>
        </w:tc>
        <w:tc>
          <w:tcPr>
            <w:tcW w:w="21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808080" w:themeFill="background1" w:themeFillShade="80"/>
          </w:tcPr>
          <w:p w14:paraId="29155DF9" w14:textId="77777777" w:rsidR="00621817" w:rsidRPr="00A217B6" w:rsidRDefault="00621817" w:rsidP="002E5A8A">
            <w:pPr>
              <w:rPr>
                <w:rFonts w:ascii="Century Gothic" w:hAnsi="Century Gothic"/>
                <w:lang w:val="es-PR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808080" w:themeFill="background1" w:themeFillShade="80"/>
          </w:tcPr>
          <w:p w14:paraId="33C2D03B" w14:textId="77777777" w:rsidR="00621817" w:rsidRPr="00A217B6" w:rsidRDefault="00621817" w:rsidP="002E5A8A">
            <w:pPr>
              <w:rPr>
                <w:rFonts w:ascii="Century Gothic" w:hAnsi="Century Gothic"/>
                <w:lang w:val="es-PR"/>
              </w:rPr>
            </w:pPr>
          </w:p>
        </w:tc>
        <w:tc>
          <w:tcPr>
            <w:tcW w:w="114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808080" w:themeFill="background1" w:themeFillShade="80"/>
          </w:tcPr>
          <w:p w14:paraId="53BB38CE" w14:textId="77777777" w:rsidR="00621817" w:rsidRPr="00A217B6" w:rsidRDefault="00621817" w:rsidP="002E5A8A">
            <w:pPr>
              <w:rPr>
                <w:rFonts w:ascii="Century Gothic" w:hAnsi="Century Gothic"/>
                <w:lang w:val="es-PR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808080" w:themeFill="background1" w:themeFillShade="80"/>
          </w:tcPr>
          <w:p w14:paraId="507F1AB7" w14:textId="77777777" w:rsidR="00621817" w:rsidRPr="00A217B6" w:rsidRDefault="00621817" w:rsidP="002E5A8A">
            <w:pPr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  <w:lang w:val="es-PR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808080" w:themeFill="background1" w:themeFillShade="80"/>
          </w:tcPr>
          <w:p w14:paraId="3730BD31" w14:textId="77777777" w:rsidR="00621817" w:rsidRPr="00A217B6" w:rsidRDefault="00621817" w:rsidP="002E5A8A">
            <w:pPr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  <w:lang w:val="es-PR"/>
              </w:rPr>
            </w:pPr>
          </w:p>
        </w:tc>
      </w:tr>
      <w:tr w:rsidR="00E65DF4" w:rsidRPr="00F47E4B" w14:paraId="29C69DB4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rPr>
          <w:tblHeader/>
        </w:trPr>
        <w:tc>
          <w:tcPr>
            <w:tcW w:w="2225" w:type="pct"/>
            <w:gridSpan w:val="8"/>
            <w:tcBorders>
              <w:top w:val="dotted" w:sz="4" w:space="0" w:color="auto"/>
            </w:tcBorders>
            <w:shd w:val="clear" w:color="auto" w:fill="000000" w:themeFill="text1"/>
            <w:vAlign w:val="center"/>
          </w:tcPr>
          <w:p w14:paraId="4238B226" w14:textId="09A77D6F" w:rsidR="00621817" w:rsidRPr="004B7174" w:rsidRDefault="00A217B6" w:rsidP="002E5A8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Descripción</w:t>
            </w:r>
          </w:p>
        </w:tc>
        <w:tc>
          <w:tcPr>
            <w:tcW w:w="225" w:type="pct"/>
            <w:tcBorders>
              <w:top w:val="dotted" w:sz="4" w:space="0" w:color="auto"/>
            </w:tcBorders>
            <w:shd w:val="clear" w:color="auto" w:fill="000000" w:themeFill="text1"/>
            <w:vAlign w:val="center"/>
          </w:tcPr>
          <w:p w14:paraId="14174262" w14:textId="279C8B85" w:rsidR="00621817" w:rsidRPr="004B7174" w:rsidRDefault="00A217B6" w:rsidP="002E5A8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Sí</w:t>
            </w:r>
          </w:p>
        </w:tc>
        <w:tc>
          <w:tcPr>
            <w:tcW w:w="215" w:type="pct"/>
            <w:gridSpan w:val="3"/>
            <w:tcBorders>
              <w:top w:val="dotted" w:sz="4" w:space="0" w:color="auto"/>
            </w:tcBorders>
            <w:shd w:val="clear" w:color="auto" w:fill="000000" w:themeFill="text1"/>
            <w:vAlign w:val="center"/>
          </w:tcPr>
          <w:p w14:paraId="5B5A76A0" w14:textId="77777777" w:rsidR="00621817" w:rsidRPr="004B7174" w:rsidRDefault="00621817" w:rsidP="002E5A8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No</w:t>
            </w:r>
          </w:p>
        </w:tc>
        <w:tc>
          <w:tcPr>
            <w:tcW w:w="262" w:type="pct"/>
            <w:gridSpan w:val="2"/>
            <w:tcBorders>
              <w:top w:val="dotted" w:sz="4" w:space="0" w:color="auto"/>
            </w:tcBorders>
            <w:shd w:val="clear" w:color="auto" w:fill="000000" w:themeFill="text1"/>
            <w:vAlign w:val="center"/>
          </w:tcPr>
          <w:p w14:paraId="3885CDD7" w14:textId="77777777" w:rsidR="00621817" w:rsidRPr="004B7174" w:rsidRDefault="00621817" w:rsidP="002E5A8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N/A</w:t>
            </w:r>
          </w:p>
        </w:tc>
        <w:tc>
          <w:tcPr>
            <w:tcW w:w="1140" w:type="pct"/>
            <w:gridSpan w:val="9"/>
            <w:tcBorders>
              <w:top w:val="dotted" w:sz="4" w:space="0" w:color="auto"/>
            </w:tcBorders>
            <w:shd w:val="clear" w:color="auto" w:fill="000000" w:themeFill="text1"/>
            <w:vAlign w:val="center"/>
          </w:tcPr>
          <w:p w14:paraId="0036724C" w14:textId="306272AF" w:rsidR="00621817" w:rsidRPr="004B7174" w:rsidRDefault="00A217B6" w:rsidP="0040784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Comentarios</w:t>
            </w:r>
          </w:p>
        </w:tc>
        <w:tc>
          <w:tcPr>
            <w:tcW w:w="469" w:type="pct"/>
            <w:gridSpan w:val="3"/>
            <w:tcBorders>
              <w:top w:val="dotted" w:sz="4" w:space="0" w:color="auto"/>
            </w:tcBorders>
            <w:shd w:val="clear" w:color="auto" w:fill="000000" w:themeFill="text1"/>
            <w:vAlign w:val="center"/>
          </w:tcPr>
          <w:p w14:paraId="4A55CDB8" w14:textId="3C7F0899" w:rsidR="00A217B6" w:rsidRPr="004B7174" w:rsidRDefault="004B7174" w:rsidP="00A217B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A217B6" w:rsidRPr="004B7174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/C</w:t>
            </w:r>
          </w:p>
          <w:p w14:paraId="714C38DA" w14:textId="58C1D9FE" w:rsidR="00621817" w:rsidRPr="004B7174" w:rsidRDefault="00A217B6" w:rsidP="00A217B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Aprobado</w:t>
            </w:r>
          </w:p>
        </w:tc>
        <w:tc>
          <w:tcPr>
            <w:tcW w:w="463" w:type="pct"/>
            <w:gridSpan w:val="3"/>
            <w:tcBorders>
              <w:top w:val="dotted" w:sz="4" w:space="0" w:color="auto"/>
            </w:tcBorders>
            <w:shd w:val="clear" w:color="auto" w:fill="000000" w:themeFill="text1"/>
            <w:vAlign w:val="center"/>
          </w:tcPr>
          <w:p w14:paraId="5B2B569C" w14:textId="2B2509B1" w:rsidR="00A217B6" w:rsidRPr="004B7174" w:rsidRDefault="004B7174" w:rsidP="00A217B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A217B6" w:rsidRPr="004B7174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/C</w:t>
            </w:r>
          </w:p>
          <w:p w14:paraId="43763B1D" w14:textId="542D0AA7" w:rsidR="00621817" w:rsidRPr="004B7174" w:rsidRDefault="004B7174" w:rsidP="00A217B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No aprobado</w:t>
            </w:r>
          </w:p>
        </w:tc>
      </w:tr>
      <w:tr w:rsidR="00270B46" w:rsidRPr="00EA3D48" w14:paraId="4051BCE5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5" w:type="pct"/>
            <w:gridSpan w:val="8"/>
            <w:vAlign w:val="center"/>
          </w:tcPr>
          <w:p w14:paraId="0C9CEF77" w14:textId="29C30509" w:rsidR="00445A97" w:rsidRPr="004B7174" w:rsidRDefault="00020C72" w:rsidP="00020C72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La suma </w:t>
            </w:r>
            <w:r w:rsidR="004B7174" w:rsidRPr="004B717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de compensación justa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fue determinada por u</w:t>
            </w:r>
            <w:r w:rsidRPr="004B717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n oficial del </w:t>
            </w:r>
            <w:proofErr w:type="spellStart"/>
            <w:r w:rsidRPr="004B717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687C9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y</w:t>
            </w:r>
            <w:r w:rsidR="004B7174" w:rsidRPr="004B717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no fue delegada a un tercero o consultor privado</w:t>
            </w:r>
            <w:r w:rsidR="00445A97" w:rsidRPr="004B717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tc>
          <w:tcPr>
            <w:tcW w:w="225" w:type="pct"/>
            <w:vAlign w:val="center"/>
          </w:tcPr>
          <w:p w14:paraId="7B9B6BE3" w14:textId="5E879EDC" w:rsidR="00445A97" w:rsidRDefault="00445A97" w:rsidP="00407841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15" w:type="pct"/>
            <w:gridSpan w:val="3"/>
            <w:vAlign w:val="center"/>
          </w:tcPr>
          <w:p w14:paraId="1486E47F" w14:textId="13E64A32" w:rsidR="00445A97" w:rsidRPr="00EA3D48" w:rsidRDefault="00445A97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2" w:type="pct"/>
            <w:gridSpan w:val="2"/>
            <w:vAlign w:val="center"/>
          </w:tcPr>
          <w:p w14:paraId="15F88786" w14:textId="04B925B4" w:rsidR="00445A97" w:rsidRPr="00EA3D48" w:rsidRDefault="00445A97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0" w:type="pct"/>
            <w:gridSpan w:val="9"/>
            <w:vAlign w:val="center"/>
          </w:tcPr>
          <w:p w14:paraId="7A73D9AC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49728BF4" w14:textId="3FCD2C89" w:rsidR="00445A97" w:rsidRPr="00EA3D48" w:rsidRDefault="00445A97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3" w:type="pct"/>
            <w:gridSpan w:val="3"/>
            <w:vAlign w:val="center"/>
          </w:tcPr>
          <w:p w14:paraId="4A6FDBD8" w14:textId="3D32519F" w:rsidR="00445A97" w:rsidRPr="00EA3D48" w:rsidRDefault="00445A97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270B46" w:rsidRPr="00EA3D48" w14:paraId="63581D13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5" w:type="pct"/>
            <w:gridSpan w:val="8"/>
            <w:vAlign w:val="center"/>
          </w:tcPr>
          <w:p w14:paraId="439CD7E2" w14:textId="2C9B27C0" w:rsidR="00445A97" w:rsidRPr="004B7174" w:rsidRDefault="004B7174" w:rsidP="00020C72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Se emitió una Notificación de Compensación Justa junto con un</w:t>
            </w:r>
            <w:r w:rsidR="00020C7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 Declaración Resumida</w:t>
            </w:r>
            <w:r w:rsidR="00445A97" w:rsidRPr="004B717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14:paraId="7312DC9B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15" w:type="pct"/>
            <w:gridSpan w:val="3"/>
            <w:vAlign w:val="center"/>
          </w:tcPr>
          <w:p w14:paraId="35A6088A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2" w:type="pct"/>
            <w:gridSpan w:val="2"/>
            <w:vAlign w:val="center"/>
          </w:tcPr>
          <w:p w14:paraId="3DA27511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0" w:type="pct"/>
            <w:gridSpan w:val="9"/>
            <w:vAlign w:val="center"/>
          </w:tcPr>
          <w:p w14:paraId="1C71EC56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59846CF1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3" w:type="pct"/>
            <w:gridSpan w:val="3"/>
            <w:vAlign w:val="center"/>
          </w:tcPr>
          <w:p w14:paraId="48544140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270B46" w:rsidRPr="00EA3D48" w14:paraId="6BE47053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rPr>
          <w:trHeight w:val="215"/>
        </w:trPr>
        <w:tc>
          <w:tcPr>
            <w:tcW w:w="2225" w:type="pct"/>
            <w:gridSpan w:val="8"/>
            <w:vAlign w:val="center"/>
          </w:tcPr>
          <w:p w14:paraId="46604029" w14:textId="5AA63EE0" w:rsidR="00445A97" w:rsidRPr="004B7174" w:rsidRDefault="004B7174" w:rsidP="00020C72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La Notificación de Compensación Justa informa al propietario que la compensación justa no es menor que el valor de tasación determinado e incluye la </w:t>
            </w:r>
            <w:r w:rsidR="00020C7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suma o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frecida por la adquisición.</w:t>
            </w:r>
          </w:p>
        </w:tc>
        <w:tc>
          <w:tcPr>
            <w:tcW w:w="225" w:type="pct"/>
            <w:vAlign w:val="center"/>
          </w:tcPr>
          <w:p w14:paraId="758A5210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15" w:type="pct"/>
            <w:gridSpan w:val="3"/>
            <w:vAlign w:val="center"/>
          </w:tcPr>
          <w:p w14:paraId="567B229A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2" w:type="pct"/>
            <w:gridSpan w:val="2"/>
            <w:vAlign w:val="center"/>
          </w:tcPr>
          <w:p w14:paraId="4CEB5246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0" w:type="pct"/>
            <w:gridSpan w:val="9"/>
            <w:vAlign w:val="center"/>
          </w:tcPr>
          <w:p w14:paraId="7AC02995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39083762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3" w:type="pct"/>
            <w:gridSpan w:val="3"/>
            <w:vAlign w:val="center"/>
          </w:tcPr>
          <w:p w14:paraId="0B4186FE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270B46" w:rsidRPr="00EA3D48" w14:paraId="03EC5060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5" w:type="pct"/>
            <w:gridSpan w:val="8"/>
          </w:tcPr>
          <w:p w14:paraId="35B606E1" w14:textId="35CC70C3" w:rsidR="00445A97" w:rsidRPr="006D47C6" w:rsidRDefault="004B7174" w:rsidP="00BD6996">
            <w:pPr>
              <w:pStyle w:val="ListParagraph"/>
              <w:numPr>
                <w:ilvl w:val="0"/>
                <w:numId w:val="3"/>
              </w:numPr>
              <w:ind w:left="1237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6D47C6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</w:t>
            </w:r>
            <w:r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propietario firmó la </w:t>
            </w:r>
            <w:r w:rsidR="00BD6996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oferta de </w:t>
            </w:r>
            <w:r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compensación justa </w:t>
            </w:r>
            <w:r w:rsidR="00BD6996"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aceptándo</w:t>
            </w:r>
            <w:r w:rsidR="00BD6996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la</w:t>
            </w:r>
            <w:r w:rsidR="00445A97" w:rsidRPr="006D47C6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14:paraId="2332C0C7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15" w:type="pct"/>
            <w:gridSpan w:val="3"/>
            <w:vAlign w:val="center"/>
          </w:tcPr>
          <w:p w14:paraId="6D1A605E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2" w:type="pct"/>
            <w:gridSpan w:val="2"/>
            <w:vAlign w:val="center"/>
          </w:tcPr>
          <w:p w14:paraId="27EFDA54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0" w:type="pct"/>
            <w:gridSpan w:val="9"/>
            <w:vAlign w:val="center"/>
          </w:tcPr>
          <w:p w14:paraId="37979CD0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4E67984D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3" w:type="pct"/>
            <w:gridSpan w:val="3"/>
            <w:vAlign w:val="center"/>
          </w:tcPr>
          <w:p w14:paraId="774A9969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270B46" w:rsidRPr="00EA3D48" w14:paraId="32A5B3DF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5" w:type="pct"/>
            <w:gridSpan w:val="8"/>
          </w:tcPr>
          <w:p w14:paraId="1BD436D6" w14:textId="1F5F458E" w:rsidR="00445A97" w:rsidRPr="002C045A" w:rsidRDefault="00020C72" w:rsidP="001F5B5C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La</w:t>
            </w:r>
            <w:r w:rsidR="002C045A"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Declaración Resumida</w:t>
            </w:r>
            <w:r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1F5B5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delinea los fundamentos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2C045A"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 la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oferta de compensación justa e incluye </w:t>
            </w:r>
            <w:r w:rsidR="002C045A"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lo siguiente</w:t>
            </w:r>
            <w:r w:rsidR="00445A97"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: </w:t>
            </w:r>
          </w:p>
        </w:tc>
        <w:tc>
          <w:tcPr>
            <w:tcW w:w="225" w:type="pct"/>
            <w:vAlign w:val="center"/>
          </w:tcPr>
          <w:p w14:paraId="37487FEB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15" w:type="pct"/>
            <w:gridSpan w:val="3"/>
            <w:vAlign w:val="center"/>
          </w:tcPr>
          <w:p w14:paraId="73601B7B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2" w:type="pct"/>
            <w:gridSpan w:val="2"/>
            <w:vAlign w:val="center"/>
          </w:tcPr>
          <w:p w14:paraId="490B37F7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0" w:type="pct"/>
            <w:gridSpan w:val="9"/>
            <w:vAlign w:val="center"/>
          </w:tcPr>
          <w:p w14:paraId="4E6EE95A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0FFB0DBF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3" w:type="pct"/>
            <w:gridSpan w:val="3"/>
            <w:vAlign w:val="center"/>
          </w:tcPr>
          <w:p w14:paraId="2D4B0904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270B46" w14:paraId="2F5A2518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5" w:type="pct"/>
            <w:gridSpan w:val="8"/>
          </w:tcPr>
          <w:p w14:paraId="19F24E8D" w14:textId="6D89AFE0" w:rsidR="00445A97" w:rsidRPr="002C045A" w:rsidRDefault="002C045A" w:rsidP="00020C72">
            <w:pPr>
              <w:pStyle w:val="ListParagraph"/>
              <w:numPr>
                <w:ilvl w:val="0"/>
                <w:numId w:val="6"/>
              </w:numPr>
              <w:ind w:left="1237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Una declaración de la </w:t>
            </w:r>
            <w:r w:rsidR="00020C7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suma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ofrecida como compensación justa</w:t>
            </w:r>
            <w:r w:rsidR="00445A97"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En el caso de una adquisición parcial, la compensación por la propiedad inmueble que será adquirida y la compensación por daños, si alguno, </w:t>
            </w:r>
            <w:r w:rsidR="00020C7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por e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 resto de la propiedad inmueble se indicará por separado.</w:t>
            </w:r>
          </w:p>
        </w:tc>
        <w:tc>
          <w:tcPr>
            <w:tcW w:w="225" w:type="pct"/>
            <w:vAlign w:val="center"/>
          </w:tcPr>
          <w:p w14:paraId="7FBC3735" w14:textId="77777777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15" w:type="pct"/>
            <w:gridSpan w:val="3"/>
            <w:vAlign w:val="center"/>
          </w:tcPr>
          <w:p w14:paraId="729EF119" w14:textId="77777777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2" w:type="pct"/>
            <w:gridSpan w:val="2"/>
            <w:vAlign w:val="center"/>
          </w:tcPr>
          <w:p w14:paraId="56944E3B" w14:textId="77777777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0" w:type="pct"/>
            <w:gridSpan w:val="9"/>
            <w:vAlign w:val="center"/>
          </w:tcPr>
          <w:p w14:paraId="128A1AE8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5736F838" w14:textId="77777777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3" w:type="pct"/>
            <w:gridSpan w:val="3"/>
            <w:vAlign w:val="center"/>
          </w:tcPr>
          <w:p w14:paraId="72DD5030" w14:textId="298D799B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270B46" w14:paraId="5F11C570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5" w:type="pct"/>
            <w:gridSpan w:val="8"/>
          </w:tcPr>
          <w:p w14:paraId="304DD3AD" w14:textId="1F23CEF3" w:rsidR="00445A97" w:rsidRPr="002C045A" w:rsidRDefault="002C045A" w:rsidP="00407841">
            <w:pPr>
              <w:pStyle w:val="ListParagraph"/>
              <w:numPr>
                <w:ilvl w:val="0"/>
                <w:numId w:val="6"/>
              </w:numPr>
              <w:ind w:left="1237" w:hanging="270"/>
              <w:jc w:val="both"/>
              <w:rPr>
                <w:rStyle w:val="hgkelc"/>
                <w:lang w:val="es-PR"/>
              </w:rPr>
            </w:pPr>
            <w:r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La descripción e identificación de la ubicación de la propiedad inmueble y el interés en la propiedad inmueble que será adquirida</w:t>
            </w:r>
            <w:r w:rsidR="00445A97"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14:paraId="34BE520A" w14:textId="77777777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15" w:type="pct"/>
            <w:gridSpan w:val="3"/>
            <w:vAlign w:val="center"/>
          </w:tcPr>
          <w:p w14:paraId="045E1A56" w14:textId="77777777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2" w:type="pct"/>
            <w:gridSpan w:val="2"/>
            <w:vAlign w:val="center"/>
          </w:tcPr>
          <w:p w14:paraId="2924FA69" w14:textId="77777777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0" w:type="pct"/>
            <w:gridSpan w:val="9"/>
            <w:vAlign w:val="center"/>
          </w:tcPr>
          <w:p w14:paraId="0AA74538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4E173C3A" w14:textId="77777777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3" w:type="pct"/>
            <w:gridSpan w:val="3"/>
            <w:vAlign w:val="center"/>
          </w:tcPr>
          <w:p w14:paraId="6C6E5077" w14:textId="77777777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270B46" w14:paraId="63856B8F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5" w:type="pct"/>
            <w:gridSpan w:val="8"/>
          </w:tcPr>
          <w:p w14:paraId="47D03C38" w14:textId="754A5A6E" w:rsidR="00445A97" w:rsidRPr="006D47C6" w:rsidRDefault="002C045A" w:rsidP="00020C72">
            <w:pPr>
              <w:pStyle w:val="ListParagraph"/>
              <w:numPr>
                <w:ilvl w:val="0"/>
                <w:numId w:val="6"/>
              </w:numPr>
              <w:ind w:left="1237" w:hanging="270"/>
              <w:jc w:val="both"/>
              <w:rPr>
                <w:rStyle w:val="hgkelc"/>
                <w:lang w:val="es-PR"/>
              </w:rPr>
            </w:pPr>
            <w:r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La identificación de los edificios, estructuras y demás mejoras (incluyendo equipo removible del edificio</w:t>
            </w:r>
            <w:r w:rsidR="00020C7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y accesorios instalados por los inquilinos</w:t>
            </w:r>
            <w:r w:rsidR="00445A97"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) </w:t>
            </w:r>
            <w:r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que se incluyan como parte de la oferta de compensación justa</w:t>
            </w:r>
            <w:r w:rsidR="00445A97"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  <w:r w:rsidR="00445A97" w:rsidRPr="006D47C6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225" w:type="pct"/>
            <w:vAlign w:val="center"/>
          </w:tcPr>
          <w:p w14:paraId="1AA304B7" w14:textId="77777777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15" w:type="pct"/>
            <w:gridSpan w:val="3"/>
            <w:vAlign w:val="center"/>
          </w:tcPr>
          <w:p w14:paraId="7AF8A82F" w14:textId="77777777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2" w:type="pct"/>
            <w:gridSpan w:val="2"/>
            <w:vAlign w:val="center"/>
          </w:tcPr>
          <w:p w14:paraId="30590CC2" w14:textId="77777777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0" w:type="pct"/>
            <w:gridSpan w:val="9"/>
            <w:vAlign w:val="center"/>
          </w:tcPr>
          <w:p w14:paraId="634B47B7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5A0B1E22" w14:textId="77777777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3" w:type="pct"/>
            <w:gridSpan w:val="3"/>
            <w:vAlign w:val="center"/>
          </w:tcPr>
          <w:p w14:paraId="778FD258" w14:textId="77777777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270B46" w14:paraId="629AAF85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5" w:type="pct"/>
            <w:gridSpan w:val="8"/>
          </w:tcPr>
          <w:p w14:paraId="107C34E1" w14:textId="17133846" w:rsidR="00445A97" w:rsidRPr="0097490B" w:rsidRDefault="002C045A" w:rsidP="00407841">
            <w:pPr>
              <w:pStyle w:val="ListParagraph"/>
              <w:numPr>
                <w:ilvl w:val="0"/>
                <w:numId w:val="6"/>
              </w:numPr>
              <w:ind w:left="1237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97490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Según corresponda, </w:t>
            </w:r>
            <w:r w:rsidR="0097490B" w:rsidRPr="0097490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la declaración deberá identificar cualquier interés propietario separado en la propiedad e indicar que dicho interés no está contemplado en esta oferta</w:t>
            </w:r>
            <w:r w:rsidR="00445A97" w:rsidRPr="0097490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14:paraId="08054CBF" w14:textId="77777777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15" w:type="pct"/>
            <w:gridSpan w:val="3"/>
            <w:vAlign w:val="center"/>
          </w:tcPr>
          <w:p w14:paraId="4E5DE6EB" w14:textId="77777777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2" w:type="pct"/>
            <w:gridSpan w:val="2"/>
            <w:vAlign w:val="center"/>
          </w:tcPr>
          <w:p w14:paraId="0370B3AB" w14:textId="77777777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0" w:type="pct"/>
            <w:gridSpan w:val="9"/>
            <w:vAlign w:val="center"/>
          </w:tcPr>
          <w:p w14:paraId="15A968FC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1F2D586D" w14:textId="77777777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3" w:type="pct"/>
            <w:gridSpan w:val="3"/>
            <w:vAlign w:val="center"/>
          </w:tcPr>
          <w:p w14:paraId="29A60F03" w14:textId="77777777" w:rsidR="00445A97" w:rsidRDefault="00445A97" w:rsidP="004078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270B46" w14:paraId="25DA1D46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5" w:type="pct"/>
            <w:gridSpan w:val="8"/>
          </w:tcPr>
          <w:p w14:paraId="634C5B74" w14:textId="43EC0E30" w:rsidR="00445A97" w:rsidRPr="0097490B" w:rsidRDefault="0097490B" w:rsidP="00407841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Se ha documentado toda correspondencia y registros de comunicación que se realizó durante la negociación con el dueño de la propiedad. </w:t>
            </w:r>
          </w:p>
        </w:tc>
        <w:tc>
          <w:tcPr>
            <w:tcW w:w="225" w:type="pct"/>
            <w:vAlign w:val="center"/>
          </w:tcPr>
          <w:p w14:paraId="035D5EB1" w14:textId="7E86580E" w:rsidR="00445A97" w:rsidRPr="00EA3D48" w:rsidRDefault="00445A97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15" w:type="pct"/>
            <w:gridSpan w:val="3"/>
            <w:vAlign w:val="center"/>
          </w:tcPr>
          <w:p w14:paraId="30064ED8" w14:textId="02ED0E38" w:rsidR="00445A97" w:rsidRPr="00EA3D48" w:rsidRDefault="00445A97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2" w:type="pct"/>
            <w:gridSpan w:val="2"/>
            <w:vAlign w:val="center"/>
          </w:tcPr>
          <w:p w14:paraId="7D0B8430" w14:textId="5B473B01" w:rsidR="00445A97" w:rsidRPr="00EA3D48" w:rsidRDefault="00445A97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0" w:type="pct"/>
            <w:gridSpan w:val="9"/>
            <w:vAlign w:val="center"/>
          </w:tcPr>
          <w:p w14:paraId="3DDB2FD5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1CC6C4BD" w14:textId="56AF8C33" w:rsidR="00445A97" w:rsidRPr="00EA3D48" w:rsidRDefault="00445A97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3" w:type="pct"/>
            <w:gridSpan w:val="3"/>
            <w:vAlign w:val="center"/>
          </w:tcPr>
          <w:p w14:paraId="10764FA5" w14:textId="27A27485" w:rsidR="00445A97" w:rsidRPr="00EA3D48" w:rsidRDefault="00445A97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270B46" w14:paraId="028B9C16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5" w:type="pct"/>
            <w:gridSpan w:val="8"/>
          </w:tcPr>
          <w:p w14:paraId="3BA1BFFA" w14:textId="28940409" w:rsidR="00E76B3F" w:rsidRPr="0097490B" w:rsidRDefault="0097490B" w:rsidP="001F5B5C">
            <w:pPr>
              <w:pStyle w:val="ListParagraph"/>
              <w:numPr>
                <w:ilvl w:val="0"/>
                <w:numId w:val="5"/>
              </w:numPr>
              <w:ind w:left="1237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He han realizado esfuerzos razonables para contactar al </w:t>
            </w:r>
            <w:r w:rsidR="001F5B5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propietario o a su representante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para </w:t>
            </w:r>
            <w:r w:rsidRPr="001F5B5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discutir</w:t>
            </w:r>
            <w:r w:rsidR="001F5B5C" w:rsidRPr="001F5B5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la </w:t>
            </w:r>
            <w:r w:rsidRPr="001F5B5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oferta para la compra de la propiedad, </w:t>
            </w:r>
            <w:r w:rsidR="001F5B5C" w:rsidRPr="001F5B5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incluyendo los fundamentos para pa</w:t>
            </w:r>
            <w:r w:rsidRPr="001F5B5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ra</w:t>
            </w:r>
            <w:r w:rsidR="001F5B5C" w:rsidRPr="001F5B5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ofrecer una </w:t>
            </w:r>
            <w:r w:rsidRPr="001F5B5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compensación justa y una explicación de sus políticas y procedimientos de adquisición</w:t>
            </w:r>
            <w:r w:rsidR="00445A97" w:rsidRPr="001F5B5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  <w:r w:rsidR="00445A97" w:rsidRPr="0097490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225" w:type="pct"/>
            <w:vAlign w:val="center"/>
          </w:tcPr>
          <w:p w14:paraId="474EA07A" w14:textId="1E5CCCB0" w:rsidR="00445A97" w:rsidRPr="00EA3D48" w:rsidRDefault="00445A97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15" w:type="pct"/>
            <w:gridSpan w:val="3"/>
            <w:vAlign w:val="center"/>
          </w:tcPr>
          <w:p w14:paraId="2E6F4D2D" w14:textId="69254285" w:rsidR="00445A97" w:rsidRPr="00EA3D48" w:rsidRDefault="00445A97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2" w:type="pct"/>
            <w:gridSpan w:val="2"/>
            <w:vAlign w:val="center"/>
          </w:tcPr>
          <w:p w14:paraId="7EF07D8D" w14:textId="5575C633" w:rsidR="00445A97" w:rsidRPr="00EA3D48" w:rsidRDefault="00445A97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0" w:type="pct"/>
            <w:gridSpan w:val="9"/>
            <w:vAlign w:val="center"/>
          </w:tcPr>
          <w:p w14:paraId="6B0D91FE" w14:textId="77777777" w:rsidR="00445A97" w:rsidRPr="00EA3D48" w:rsidRDefault="00445A97" w:rsidP="004078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02A69C36" w14:textId="22418339" w:rsidR="00445A97" w:rsidRPr="00EA3D48" w:rsidRDefault="00445A97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3" w:type="pct"/>
            <w:gridSpan w:val="3"/>
            <w:vAlign w:val="center"/>
          </w:tcPr>
          <w:p w14:paraId="4CC37C7D" w14:textId="4653DC60" w:rsidR="00445A97" w:rsidRPr="00EA3D48" w:rsidRDefault="00445A97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270B46" w14:paraId="0FB7F923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5" w:type="pct"/>
            <w:gridSpan w:val="8"/>
          </w:tcPr>
          <w:p w14:paraId="3AA44082" w14:textId="39A5041C" w:rsidR="00E76B3F" w:rsidRPr="006D47C6" w:rsidRDefault="0097490B" w:rsidP="00687C91">
            <w:pPr>
              <w:pStyle w:val="ListParagraph"/>
              <w:numPr>
                <w:ilvl w:val="0"/>
                <w:numId w:val="5"/>
              </w:numPr>
              <w:ind w:left="1237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97490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La documentación indica que se llevaron a cabo negociaciones y los resultados de las negociaciones entre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</w:t>
            </w:r>
            <w:proofErr w:type="spellStart"/>
            <w:r w:rsidR="00687C9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subrecipiente</w:t>
            </w:r>
            <w:proofErr w:type="spellEnd"/>
            <w:r w:rsidR="00687C9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y el </w:t>
            </w:r>
            <w:r w:rsid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dueño de la propiedad o su representante</w:t>
            </w:r>
            <w:r w:rsidR="00E76B3F" w:rsidRPr="006D47C6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tc>
          <w:tcPr>
            <w:tcW w:w="225" w:type="pct"/>
            <w:vAlign w:val="center"/>
          </w:tcPr>
          <w:p w14:paraId="4A4B9DE8" w14:textId="560BBB4B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15" w:type="pct"/>
            <w:gridSpan w:val="3"/>
            <w:vAlign w:val="center"/>
          </w:tcPr>
          <w:p w14:paraId="51F5AF96" w14:textId="1B1D087C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2" w:type="pct"/>
            <w:gridSpan w:val="2"/>
            <w:vAlign w:val="center"/>
          </w:tcPr>
          <w:p w14:paraId="595DF352" w14:textId="43DB4787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0" w:type="pct"/>
            <w:gridSpan w:val="9"/>
            <w:vAlign w:val="center"/>
          </w:tcPr>
          <w:p w14:paraId="044C64DD" w14:textId="77777777" w:rsidR="00E76B3F" w:rsidRPr="00EA3D48" w:rsidRDefault="00E76B3F" w:rsidP="004078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01C61E1F" w14:textId="093BF494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3" w:type="pct"/>
            <w:gridSpan w:val="3"/>
            <w:vAlign w:val="center"/>
          </w:tcPr>
          <w:p w14:paraId="287E48B4" w14:textId="5C2294D3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270B46" w14:paraId="6C8DD94B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5" w:type="pct"/>
            <w:gridSpan w:val="8"/>
          </w:tcPr>
          <w:p w14:paraId="40EFA5D9" w14:textId="55EE1439" w:rsidR="00E76B3F" w:rsidRPr="00E7019D" w:rsidRDefault="00E7019D" w:rsidP="001F5B5C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propietario se le ha concedido una oportunidad razonable para considerar la oferta y presentar aquel material que considere relevante </w:t>
            </w:r>
            <w:r w:rsidR="001F5B5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en cuanto a</w:t>
            </w:r>
            <w:r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l valor de la propiedad y sugerir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que se </w:t>
            </w:r>
            <w:r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modifi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quen </w:t>
            </w:r>
            <w:r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los términos y condiciones de la compra propuestos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  <w:r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225" w:type="pct"/>
            <w:vAlign w:val="center"/>
          </w:tcPr>
          <w:p w14:paraId="44BA55F8" w14:textId="1A3A3155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15" w:type="pct"/>
            <w:gridSpan w:val="3"/>
            <w:vAlign w:val="center"/>
          </w:tcPr>
          <w:p w14:paraId="3B80D74C" w14:textId="45835748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2" w:type="pct"/>
            <w:gridSpan w:val="2"/>
            <w:vAlign w:val="center"/>
          </w:tcPr>
          <w:p w14:paraId="58D04E08" w14:textId="5AB830FB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0" w:type="pct"/>
            <w:gridSpan w:val="9"/>
            <w:vAlign w:val="center"/>
          </w:tcPr>
          <w:p w14:paraId="4A4E776D" w14:textId="77777777" w:rsidR="00E76B3F" w:rsidRPr="00EA3D48" w:rsidRDefault="00E76B3F" w:rsidP="004078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3F48675D" w14:textId="673C067E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3" w:type="pct"/>
            <w:gridSpan w:val="3"/>
            <w:vAlign w:val="center"/>
          </w:tcPr>
          <w:p w14:paraId="57B241A9" w14:textId="04D1EC8A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270B46" w14:paraId="04BAC1AE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5" w:type="pct"/>
            <w:gridSpan w:val="8"/>
          </w:tcPr>
          <w:p w14:paraId="18D5F77A" w14:textId="4B237916" w:rsidR="00E76B3F" w:rsidRPr="00E7019D" w:rsidRDefault="00E7019D" w:rsidP="00407841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acuerdo de </w:t>
            </w:r>
            <w:proofErr w:type="gramStart"/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Compra Venta</w:t>
            </w:r>
            <w:proofErr w:type="gramEnd"/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ha sido firmado por el Propietario</w:t>
            </w:r>
            <w:r w:rsidR="00E76B3F"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14:paraId="6383C614" w14:textId="046C18AB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15" w:type="pct"/>
            <w:gridSpan w:val="3"/>
            <w:vAlign w:val="center"/>
          </w:tcPr>
          <w:p w14:paraId="5152E766" w14:textId="41FB03E1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2" w:type="pct"/>
            <w:gridSpan w:val="2"/>
            <w:vAlign w:val="center"/>
          </w:tcPr>
          <w:p w14:paraId="748410BD" w14:textId="55D0AB93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0" w:type="pct"/>
            <w:gridSpan w:val="9"/>
            <w:vAlign w:val="center"/>
          </w:tcPr>
          <w:p w14:paraId="098316F4" w14:textId="77777777" w:rsidR="00E76B3F" w:rsidRPr="00EA3D48" w:rsidRDefault="00E76B3F" w:rsidP="004078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05143E86" w14:textId="41530244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3" w:type="pct"/>
            <w:gridSpan w:val="3"/>
            <w:vAlign w:val="center"/>
          </w:tcPr>
          <w:p w14:paraId="74AF50C6" w14:textId="288AB8B5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270B46" w14:paraId="51F3DFC5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5" w:type="pct"/>
            <w:gridSpan w:val="8"/>
          </w:tcPr>
          <w:p w14:paraId="0BA4EC88" w14:textId="660AEE45" w:rsidR="00E76B3F" w:rsidRPr="006D47C6" w:rsidRDefault="00E7019D" w:rsidP="00BD6996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6D47C6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La </w:t>
            </w:r>
            <w:r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Declaración de Cierre de </w:t>
            </w:r>
            <w:proofErr w:type="spellStart"/>
            <w:r w:rsidR="00E76B3F"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HUD</w:t>
            </w:r>
            <w:proofErr w:type="spellEnd"/>
            <w:r w:rsidR="00E76B3F"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ha sido redactada e identifica todos los costos de</w:t>
            </w:r>
            <w:r w:rsidR="001F5B5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liquidación</w:t>
            </w:r>
            <w:r w:rsidR="00E76B3F"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  <w:r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Esta declaración debe incluir todos los costos asociados </w:t>
            </w:r>
            <w:r w:rsidR="00BD6996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tales como derechos </w:t>
            </w:r>
            <w:r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de inscripción, impuestos de </w:t>
            </w:r>
            <w:r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lastRenderedPageBreak/>
              <w:t>trasferencia, penalidades y otros cargos para el</w:t>
            </w:r>
            <w:r w:rsidR="00BD6996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pago anticipado </w:t>
            </w:r>
            <w:r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 cualquier hipoteca preexistente inscrita</w:t>
            </w:r>
            <w:r w:rsidR="00E76B3F"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, etc.</w:t>
            </w:r>
            <w:r w:rsidR="00E76B3F" w:rsidRPr="006D47C6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 </w:t>
            </w:r>
          </w:p>
        </w:tc>
        <w:tc>
          <w:tcPr>
            <w:tcW w:w="225" w:type="pct"/>
            <w:vAlign w:val="center"/>
          </w:tcPr>
          <w:p w14:paraId="5112D959" w14:textId="6B0F5BC5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lastRenderedPageBreak/>
              <w:t>☐</w:t>
            </w:r>
          </w:p>
        </w:tc>
        <w:tc>
          <w:tcPr>
            <w:tcW w:w="215" w:type="pct"/>
            <w:gridSpan w:val="3"/>
            <w:vAlign w:val="center"/>
          </w:tcPr>
          <w:p w14:paraId="5B291129" w14:textId="47407586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2" w:type="pct"/>
            <w:gridSpan w:val="2"/>
            <w:vAlign w:val="center"/>
          </w:tcPr>
          <w:p w14:paraId="518425F7" w14:textId="0EE97152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0" w:type="pct"/>
            <w:gridSpan w:val="9"/>
            <w:vAlign w:val="center"/>
          </w:tcPr>
          <w:p w14:paraId="55B146ED" w14:textId="77777777" w:rsidR="00E76B3F" w:rsidRPr="00EA3D48" w:rsidRDefault="00E76B3F" w:rsidP="004078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0CFAD5E8" w14:textId="2CAD0FE3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3" w:type="pct"/>
            <w:gridSpan w:val="3"/>
            <w:vAlign w:val="center"/>
          </w:tcPr>
          <w:p w14:paraId="0DECD6AA" w14:textId="06473AAE" w:rsidR="00E76B3F" w:rsidRPr="00EA3D48" w:rsidRDefault="00E76B3F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270B46" w14:paraId="2C26C0FF" w14:textId="77777777" w:rsidTr="0022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5" w:type="pct"/>
            <w:gridSpan w:val="8"/>
          </w:tcPr>
          <w:p w14:paraId="6FED96C9" w14:textId="47BD3BAD" w:rsidR="001E62A6" w:rsidRPr="006D47C6" w:rsidRDefault="00CB76E3" w:rsidP="00407841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Se ha completado una</w:t>
            </w:r>
            <w:r w:rsidR="00E7019D" w:rsidRPr="00CB76E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CB76E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Divulgación</w:t>
            </w:r>
            <w:r w:rsidR="00E7019D" w:rsidRPr="00CB76E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CB76E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de Conflicto de Intereses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del Dueño de la Propiedad por cada dueño conocido de la propiedad que será adquirida.</w:t>
            </w:r>
          </w:p>
        </w:tc>
        <w:tc>
          <w:tcPr>
            <w:tcW w:w="225" w:type="pct"/>
            <w:vAlign w:val="center"/>
          </w:tcPr>
          <w:p w14:paraId="08BE9C8D" w14:textId="57C81958" w:rsidR="001E62A6" w:rsidRPr="00EA3D48" w:rsidRDefault="001E62A6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15" w:type="pct"/>
            <w:gridSpan w:val="3"/>
            <w:vAlign w:val="center"/>
          </w:tcPr>
          <w:p w14:paraId="138886B2" w14:textId="328134EA" w:rsidR="001E62A6" w:rsidRPr="00EA3D48" w:rsidRDefault="001E62A6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2" w:type="pct"/>
            <w:gridSpan w:val="2"/>
            <w:vAlign w:val="center"/>
          </w:tcPr>
          <w:p w14:paraId="77A41A5A" w14:textId="21D7B6B9" w:rsidR="001E62A6" w:rsidRPr="00EA3D48" w:rsidRDefault="001E62A6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0" w:type="pct"/>
            <w:gridSpan w:val="9"/>
            <w:vAlign w:val="center"/>
          </w:tcPr>
          <w:p w14:paraId="6D93D7AB" w14:textId="77777777" w:rsidR="001E62A6" w:rsidRPr="00EA3D48" w:rsidRDefault="001E62A6" w:rsidP="004078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5BC5A764" w14:textId="5D25CD40" w:rsidR="001E62A6" w:rsidRPr="00EA3D48" w:rsidRDefault="001E62A6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3" w:type="pct"/>
            <w:gridSpan w:val="3"/>
            <w:vAlign w:val="center"/>
          </w:tcPr>
          <w:p w14:paraId="48B3934D" w14:textId="0E400358" w:rsidR="001E62A6" w:rsidRPr="00EA3D48" w:rsidRDefault="001E62A6" w:rsidP="0040784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</w:tbl>
    <w:p w14:paraId="567ED973" w14:textId="77777777" w:rsidR="00A71FCE" w:rsidRPr="00407841" w:rsidRDefault="00A71FCE" w:rsidP="00407841">
      <w:pPr>
        <w:spacing w:after="0"/>
        <w:rPr>
          <w:sz w:val="14"/>
          <w:szCs w:val="14"/>
        </w:rPr>
      </w:pPr>
    </w:p>
    <w:p w14:paraId="08285737" w14:textId="77777777" w:rsidR="001E312D" w:rsidRDefault="001E312D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F11E4" w:rsidRPr="00546717" w14:paraId="3C842C90" w14:textId="77777777" w:rsidTr="00517EE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C6DFCA" w14:textId="2372689A" w:rsidR="009F11E4" w:rsidRPr="00A217B6" w:rsidRDefault="00A217B6" w:rsidP="00A84804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 w:rsidRPr="009D26C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Notas del Revisor</w:t>
            </w:r>
            <w:r w:rsidR="004B7174" w:rsidRPr="009D26C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 </w:t>
            </w:r>
            <w:r w:rsidR="004B717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de </w:t>
            </w:r>
            <w:proofErr w:type="spellStart"/>
            <w:r w:rsidR="004B717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QA</w:t>
            </w:r>
            <w:proofErr w:type="spellEnd"/>
            <w:r w:rsidR="004B7174" w:rsidRPr="009D26C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/</w:t>
            </w:r>
            <w:proofErr w:type="spellStart"/>
            <w:r w:rsidR="004B717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Q</w:t>
            </w:r>
            <w:r w:rsidR="004B7174" w:rsidRPr="009D26C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C</w:t>
            </w:r>
            <w:proofErr w:type="spellEnd"/>
          </w:p>
        </w:tc>
      </w:tr>
      <w:tr w:rsidR="00D65ECC" w:rsidRPr="00546717" w14:paraId="255C58B4" w14:textId="77777777" w:rsidTr="00407841">
        <w:trPr>
          <w:trHeight w:val="29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AC4E" w14:textId="77777777" w:rsidR="00D65ECC" w:rsidRDefault="00D65ECC" w:rsidP="00D65ECC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  <w:p w14:paraId="5855356A" w14:textId="77777777" w:rsidR="00EE2F8C" w:rsidRPr="00EE2F8C" w:rsidRDefault="00EE2F8C" w:rsidP="00EE2F8C">
            <w:pPr>
              <w:rPr>
                <w:rFonts w:ascii="Century Gothic" w:hAnsi="Century Gothic"/>
                <w:sz w:val="20"/>
                <w:szCs w:val="20"/>
                <w:lang w:val="es-PR"/>
              </w:rPr>
            </w:pPr>
          </w:p>
          <w:p w14:paraId="0551FE54" w14:textId="77777777" w:rsidR="00EE2F8C" w:rsidRDefault="00EE2F8C" w:rsidP="00EE2F8C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  <w:p w14:paraId="6C6C7173" w14:textId="77777777" w:rsidR="00EE2F8C" w:rsidRDefault="00EE2F8C" w:rsidP="00EE2F8C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  <w:p w14:paraId="7202F108" w14:textId="77777777" w:rsidR="00EE2F8C" w:rsidRDefault="00EE2F8C" w:rsidP="00EE2F8C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  <w:p w14:paraId="6EE01396" w14:textId="1A0BE214" w:rsidR="00EE2F8C" w:rsidRPr="00EE2F8C" w:rsidRDefault="00EE2F8C" w:rsidP="00EE2F8C">
            <w:pPr>
              <w:ind w:firstLine="720"/>
              <w:rPr>
                <w:rFonts w:ascii="Century Gothic" w:hAnsi="Century Gothic"/>
                <w:sz w:val="20"/>
                <w:szCs w:val="20"/>
                <w:lang w:val="es-PR"/>
              </w:rPr>
            </w:pPr>
          </w:p>
        </w:tc>
      </w:tr>
    </w:tbl>
    <w:p w14:paraId="740AFE33" w14:textId="77777777" w:rsidR="009F11E4" w:rsidRPr="00A217B6" w:rsidRDefault="009F11E4">
      <w:pPr>
        <w:rPr>
          <w:lang w:val="es-PR"/>
        </w:rPr>
      </w:pPr>
    </w:p>
    <w:sectPr w:rsidR="009F11E4" w:rsidRPr="00A217B6" w:rsidSect="00517EE8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0570" w14:textId="77777777" w:rsidR="0068439A" w:rsidRDefault="0068439A" w:rsidP="00FC4537">
      <w:pPr>
        <w:spacing w:after="0" w:line="240" w:lineRule="auto"/>
      </w:pPr>
      <w:r>
        <w:separator/>
      </w:r>
    </w:p>
  </w:endnote>
  <w:endnote w:type="continuationSeparator" w:id="0">
    <w:p w14:paraId="310169F6" w14:textId="77777777" w:rsidR="0068439A" w:rsidRDefault="0068439A" w:rsidP="00FC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596C" w14:textId="77777777" w:rsidR="0068439A" w:rsidRDefault="0068439A" w:rsidP="00FC4537">
      <w:pPr>
        <w:spacing w:after="0" w:line="240" w:lineRule="auto"/>
      </w:pPr>
      <w:r>
        <w:separator/>
      </w:r>
    </w:p>
  </w:footnote>
  <w:footnote w:type="continuationSeparator" w:id="0">
    <w:p w14:paraId="22173C4A" w14:textId="77777777" w:rsidR="0068439A" w:rsidRDefault="0068439A" w:rsidP="00FC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01A7" w14:textId="77777777" w:rsidR="00A217B6" w:rsidRPr="00020C72" w:rsidRDefault="00A217B6" w:rsidP="00A217B6">
    <w:pPr>
      <w:spacing w:after="0" w:line="240" w:lineRule="auto"/>
      <w:ind w:hanging="806"/>
      <w:jc w:val="right"/>
      <w:rPr>
        <w:rFonts w:ascii="Century Gothic" w:eastAsia="Franklin Gothic Book" w:hAnsi="Century Gothic" w:cs="Franklin Gothic Book"/>
        <w:sz w:val="16"/>
        <w:szCs w:val="16"/>
        <w:lang w:val="es-PR"/>
      </w:rPr>
    </w:pPr>
    <w:r w:rsidRPr="00020C72">
      <w:rPr>
        <w:rFonts w:ascii="Century Gothic" w:eastAsia="Franklin Gothic Book" w:hAnsi="Century Gothic" w:cs="Franklin Gothic Book"/>
        <w:sz w:val="16"/>
        <w:szCs w:val="16"/>
        <w:lang w:val="es-PR"/>
      </w:rPr>
      <w:t>Programa CDBG-</w:t>
    </w:r>
    <w:proofErr w:type="spellStart"/>
    <w:r w:rsidRPr="00020C72">
      <w:rPr>
        <w:rFonts w:ascii="Century Gothic" w:eastAsia="Franklin Gothic Book" w:hAnsi="Century Gothic" w:cs="Franklin Gothic Book"/>
        <w:sz w:val="16"/>
        <w:szCs w:val="16"/>
        <w:lang w:val="es-PR"/>
      </w:rPr>
      <w:t>DR</w:t>
    </w:r>
    <w:proofErr w:type="spellEnd"/>
    <w:r w:rsidRPr="00020C72">
      <w:rPr>
        <w:rFonts w:ascii="Century Gothic" w:eastAsia="Franklin Gothic Book" w:hAnsi="Century Gothic" w:cs="Franklin Gothic Book"/>
        <w:sz w:val="16"/>
        <w:szCs w:val="16"/>
        <w:lang w:val="es-PR"/>
      </w:rPr>
      <w:t xml:space="preserve"> </w:t>
    </w:r>
  </w:p>
  <w:p w14:paraId="56C143E0" w14:textId="77777777" w:rsidR="00A217B6" w:rsidRPr="00020C72" w:rsidRDefault="00A217B6" w:rsidP="00A217B6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020C72">
      <w:rPr>
        <w:rFonts w:ascii="Century Gothic" w:eastAsia="Franklin Gothic Book" w:hAnsi="Century Gothic" w:cs="Franklin Gothic Book"/>
        <w:sz w:val="16"/>
        <w:szCs w:val="16"/>
        <w:lang w:val="es-PR"/>
      </w:rPr>
      <w:t>Asistencia Uniforme de Reubicación</w:t>
    </w:r>
  </w:p>
  <w:p w14:paraId="56AE6E9A" w14:textId="3EBAA93E" w:rsidR="00517EE8" w:rsidRPr="00020C72" w:rsidRDefault="00020C72" w:rsidP="00517EE8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020C72">
      <w:rPr>
        <w:rFonts w:ascii="Century Gothic" w:hAnsi="Century Gothic"/>
        <w:sz w:val="16"/>
        <w:szCs w:val="16"/>
        <w:lang w:val="es-PR"/>
      </w:rPr>
      <w:t xml:space="preserve">Lista de Cotejo – Negociaciones para la Adquisición de Propiedades bajo la Ley </w:t>
    </w:r>
    <w:proofErr w:type="spellStart"/>
    <w:r w:rsidR="00517EE8" w:rsidRPr="00020C72">
      <w:rPr>
        <w:rFonts w:ascii="Century Gothic" w:hAnsi="Century Gothic"/>
        <w:sz w:val="16"/>
        <w:szCs w:val="16"/>
        <w:lang w:val="es-PR"/>
      </w:rPr>
      <w:t>URA</w:t>
    </w:r>
    <w:proofErr w:type="spellEnd"/>
  </w:p>
  <w:sdt>
    <w:sdtPr>
      <w:rPr>
        <w:lang w:val="es-PR"/>
      </w:rPr>
      <w:id w:val="-1318336367"/>
      <w:docPartObj>
        <w:docPartGallery w:val="Page Numbers (Top of Page)"/>
        <w:docPartUnique/>
      </w:docPartObj>
    </w:sdtPr>
    <w:sdtEndPr>
      <w:rPr>
        <w:rFonts w:ascii="Century Gothic" w:eastAsia="Franklin Gothic Book" w:hAnsi="Century Gothic" w:cs="Franklin Gothic Book"/>
        <w:sz w:val="16"/>
        <w:szCs w:val="16"/>
      </w:rPr>
    </w:sdtEndPr>
    <w:sdtContent>
      <w:p w14:paraId="7CD5F743" w14:textId="7103160C" w:rsidR="00517EE8" w:rsidRPr="006D47C6" w:rsidRDefault="00A217B6" w:rsidP="00517EE8">
        <w:pPr>
          <w:pStyle w:val="Header"/>
          <w:jc w:val="right"/>
          <w:rPr>
            <w:rFonts w:ascii="Century Gothic" w:eastAsia="Franklin Gothic Book" w:hAnsi="Century Gothic" w:cs="Franklin Gothic Book"/>
            <w:sz w:val="16"/>
            <w:szCs w:val="16"/>
          </w:rPr>
        </w:pPr>
        <w:r w:rsidRPr="00020C72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>Página</w:t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</w:rPr>
          <w:t xml:space="preserve"> </w:t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begin"/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</w:rPr>
          <w:instrText xml:space="preserve"> PAGE </w:instrText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separate"/>
        </w:r>
        <w:r w:rsidR="00687C91">
          <w:rPr>
            <w:rFonts w:ascii="Century Gothic" w:eastAsia="Franklin Gothic Book" w:hAnsi="Century Gothic" w:cs="Franklin Gothic Book"/>
            <w:noProof/>
            <w:sz w:val="16"/>
            <w:szCs w:val="16"/>
          </w:rPr>
          <w:t>3</w:t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end"/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</w:rPr>
          <w:t xml:space="preserve"> </w:t>
        </w:r>
        <w:r w:rsidRPr="00020C72">
          <w:rPr>
            <w:rFonts w:ascii="Century Gothic" w:eastAsia="Franklin Gothic Book" w:hAnsi="Century Gothic" w:cs="Franklin Gothic Book"/>
            <w:sz w:val="16"/>
            <w:szCs w:val="16"/>
          </w:rPr>
          <w:t>de</w:t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</w:rPr>
          <w:t xml:space="preserve"> </w:t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begin"/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</w:rPr>
          <w:instrText xml:space="preserve"> NUMPAGES  </w:instrText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separate"/>
        </w:r>
        <w:r w:rsidR="00687C91">
          <w:rPr>
            <w:rFonts w:ascii="Century Gothic" w:eastAsia="Franklin Gothic Book" w:hAnsi="Century Gothic" w:cs="Franklin Gothic Book"/>
            <w:noProof/>
            <w:sz w:val="16"/>
            <w:szCs w:val="16"/>
          </w:rPr>
          <w:t>3</w:t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end"/>
        </w:r>
      </w:p>
    </w:sdtContent>
  </w:sdt>
  <w:p w14:paraId="78ED717A" w14:textId="77777777" w:rsidR="005D4B42" w:rsidRPr="00517EE8" w:rsidRDefault="005D4B42" w:rsidP="00517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E891" w14:textId="064354DF" w:rsidR="00517EE8" w:rsidRDefault="00790540" w:rsidP="00C75E56">
    <w:pPr>
      <w:pStyle w:val="Header"/>
      <w:tabs>
        <w:tab w:val="clear" w:pos="4680"/>
        <w:tab w:val="clear" w:pos="9360"/>
        <w:tab w:val="left" w:pos="456"/>
      </w:tabs>
      <w:rPr>
        <w:rFonts w:ascii="Century Gothic" w:hAnsi="Century Gothic" w:cstheme="majorHAnsi"/>
        <w:sz w:val="16"/>
        <w:szCs w:val="16"/>
      </w:rPr>
    </w:pPr>
    <w:bookmarkStart w:id="2" w:name="_Hlk75953319"/>
    <w:bookmarkStart w:id="3" w:name="_Hlk75953320"/>
    <w:bookmarkStart w:id="4" w:name="_Hlk75957139"/>
    <w:bookmarkStart w:id="5" w:name="_Hlk75957140"/>
    <w:r>
      <w:rPr>
        <w:noProof/>
      </w:rPr>
      <w:drawing>
        <wp:anchor distT="0" distB="0" distL="114300" distR="114300" simplePos="0" relativeHeight="251659264" behindDoc="1" locked="0" layoutInCell="1" allowOverlap="1" wp14:anchorId="601B91DA" wp14:editId="598EA0E9">
          <wp:simplePos x="0" y="0"/>
          <wp:positionH relativeFrom="column">
            <wp:posOffset>-213360</wp:posOffset>
          </wp:positionH>
          <wp:positionV relativeFrom="page">
            <wp:posOffset>-83820</wp:posOffset>
          </wp:positionV>
          <wp:extent cx="2247776" cy="1045028"/>
          <wp:effectExtent l="0" t="0" r="63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8"/>
                  <a:stretch/>
                </pic:blipFill>
                <pic:spPr bwMode="auto">
                  <a:xfrm>
                    <a:off x="0" y="0"/>
                    <a:ext cx="2247776" cy="1045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E56">
      <w:rPr>
        <w:rFonts w:ascii="Century Gothic" w:hAnsi="Century Gothic" w:cstheme="majorHAnsi"/>
        <w:sz w:val="16"/>
        <w:szCs w:val="16"/>
      </w:rPr>
      <w:tab/>
    </w:r>
  </w:p>
  <w:bookmarkEnd w:id="2"/>
  <w:bookmarkEnd w:id="3"/>
  <w:bookmarkEnd w:id="4"/>
  <w:bookmarkEnd w:id="5"/>
  <w:p w14:paraId="39F008E0" w14:textId="77777777" w:rsidR="00517EE8" w:rsidRPr="0090782E" w:rsidRDefault="00517EE8" w:rsidP="00517EE8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6"/>
        <w:szCs w:val="16"/>
      </w:rPr>
    </w:pPr>
  </w:p>
  <w:p w14:paraId="39AC1581" w14:textId="77777777" w:rsidR="00517EE8" w:rsidRDefault="00517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B23"/>
    <w:multiLevelType w:val="hybridMultilevel"/>
    <w:tmpl w:val="1D3CE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B1734D"/>
    <w:multiLevelType w:val="hybridMultilevel"/>
    <w:tmpl w:val="51B4F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684E"/>
    <w:multiLevelType w:val="hybridMultilevel"/>
    <w:tmpl w:val="0B5ABFC8"/>
    <w:lvl w:ilvl="0" w:tplc="D6262F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F7E7C"/>
    <w:multiLevelType w:val="hybridMultilevel"/>
    <w:tmpl w:val="973438D8"/>
    <w:lvl w:ilvl="0" w:tplc="0F6881FE">
      <w:start w:val="1"/>
      <w:numFmt w:val="lowerLetter"/>
      <w:lvlText w:val="%1."/>
      <w:lvlJc w:val="left"/>
      <w:pPr>
        <w:ind w:left="1800" w:hanging="360"/>
      </w:pPr>
      <w:rPr>
        <w:rFonts w:hint="default"/>
        <w:sz w:val="16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A6400B"/>
    <w:multiLevelType w:val="hybridMultilevel"/>
    <w:tmpl w:val="973438D8"/>
    <w:lvl w:ilvl="0" w:tplc="0F6881FE">
      <w:start w:val="1"/>
      <w:numFmt w:val="lowerLetter"/>
      <w:lvlText w:val="%1."/>
      <w:lvlJc w:val="left"/>
      <w:pPr>
        <w:ind w:left="1800" w:hanging="360"/>
      </w:pPr>
      <w:rPr>
        <w:rFonts w:hint="default"/>
        <w:sz w:val="16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38240A"/>
    <w:multiLevelType w:val="hybridMultilevel"/>
    <w:tmpl w:val="7A82336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zA3NzQxMbYwNDdW0lEKTi0uzszPAykwrAUAPmuiNiwAAAA="/>
  </w:docVars>
  <w:rsids>
    <w:rsidRoot w:val="00621817"/>
    <w:rsid w:val="00020C72"/>
    <w:rsid w:val="00073798"/>
    <w:rsid w:val="000758E3"/>
    <w:rsid w:val="000E0658"/>
    <w:rsid w:val="000E56EC"/>
    <w:rsid w:val="0010371B"/>
    <w:rsid w:val="001C0CCC"/>
    <w:rsid w:val="001E312D"/>
    <w:rsid w:val="001E62A6"/>
    <w:rsid w:val="001F5B5C"/>
    <w:rsid w:val="00203440"/>
    <w:rsid w:val="002207A4"/>
    <w:rsid w:val="00270B46"/>
    <w:rsid w:val="00273606"/>
    <w:rsid w:val="00292C58"/>
    <w:rsid w:val="002C045A"/>
    <w:rsid w:val="0034492B"/>
    <w:rsid w:val="0036306A"/>
    <w:rsid w:val="003675C8"/>
    <w:rsid w:val="003747F1"/>
    <w:rsid w:val="0037561A"/>
    <w:rsid w:val="0039674E"/>
    <w:rsid w:val="00407841"/>
    <w:rsid w:val="0041477D"/>
    <w:rsid w:val="00443CA8"/>
    <w:rsid w:val="00445A97"/>
    <w:rsid w:val="00455074"/>
    <w:rsid w:val="004B7174"/>
    <w:rsid w:val="00517EE8"/>
    <w:rsid w:val="00532C97"/>
    <w:rsid w:val="00546717"/>
    <w:rsid w:val="00556D58"/>
    <w:rsid w:val="005D3028"/>
    <w:rsid w:val="005D4B42"/>
    <w:rsid w:val="00617210"/>
    <w:rsid w:val="00621817"/>
    <w:rsid w:val="00637881"/>
    <w:rsid w:val="00644EF0"/>
    <w:rsid w:val="006474CD"/>
    <w:rsid w:val="0068439A"/>
    <w:rsid w:val="00687C91"/>
    <w:rsid w:val="00693753"/>
    <w:rsid w:val="006D47C6"/>
    <w:rsid w:val="006E27A3"/>
    <w:rsid w:val="007467F8"/>
    <w:rsid w:val="007825F6"/>
    <w:rsid w:val="00790540"/>
    <w:rsid w:val="007A5DEC"/>
    <w:rsid w:val="00817DD7"/>
    <w:rsid w:val="00890AA4"/>
    <w:rsid w:val="008C63C0"/>
    <w:rsid w:val="008D7C4E"/>
    <w:rsid w:val="00924EC4"/>
    <w:rsid w:val="00947CB1"/>
    <w:rsid w:val="00972D16"/>
    <w:rsid w:val="0097490B"/>
    <w:rsid w:val="009B1A80"/>
    <w:rsid w:val="009B5CDF"/>
    <w:rsid w:val="009B6E95"/>
    <w:rsid w:val="009C54C1"/>
    <w:rsid w:val="009E59AF"/>
    <w:rsid w:val="009F11E4"/>
    <w:rsid w:val="00A217B6"/>
    <w:rsid w:val="00A41D49"/>
    <w:rsid w:val="00A71FCE"/>
    <w:rsid w:val="00A84804"/>
    <w:rsid w:val="00A91200"/>
    <w:rsid w:val="00B44270"/>
    <w:rsid w:val="00B515DF"/>
    <w:rsid w:val="00BB2447"/>
    <w:rsid w:val="00BD6996"/>
    <w:rsid w:val="00BE5C8F"/>
    <w:rsid w:val="00C457E0"/>
    <w:rsid w:val="00C75E56"/>
    <w:rsid w:val="00C92EEA"/>
    <w:rsid w:val="00C936EF"/>
    <w:rsid w:val="00CB76E3"/>
    <w:rsid w:val="00CE1DA4"/>
    <w:rsid w:val="00CF4F4A"/>
    <w:rsid w:val="00CF584C"/>
    <w:rsid w:val="00D65ECC"/>
    <w:rsid w:val="00D71247"/>
    <w:rsid w:val="00D82468"/>
    <w:rsid w:val="00E141A9"/>
    <w:rsid w:val="00E65DF4"/>
    <w:rsid w:val="00E700DD"/>
    <w:rsid w:val="00E7019D"/>
    <w:rsid w:val="00E76B3F"/>
    <w:rsid w:val="00E865CB"/>
    <w:rsid w:val="00E91DB0"/>
    <w:rsid w:val="00EA32B7"/>
    <w:rsid w:val="00EB6E52"/>
    <w:rsid w:val="00EE2F8C"/>
    <w:rsid w:val="00F0239B"/>
    <w:rsid w:val="00F25A40"/>
    <w:rsid w:val="00F3348B"/>
    <w:rsid w:val="00FA78AE"/>
    <w:rsid w:val="00FC4537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2295B0"/>
  <w15:chartTrackingRefBased/>
  <w15:docId w15:val="{8CCA6EA8-0BC3-4174-8CBD-A2419085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ull Quote,Bullet Paragraph"/>
    <w:basedOn w:val="Normal"/>
    <w:link w:val="ListParagraphChar"/>
    <w:uiPriority w:val="34"/>
    <w:qFormat/>
    <w:rsid w:val="00621817"/>
    <w:pPr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ListParagraphChar">
    <w:name w:val="List Paragraph Char"/>
    <w:aliases w:val="Pull Quote Char,Bullet Paragraph Char"/>
    <w:basedOn w:val="DefaultParagraphFont"/>
    <w:link w:val="ListParagraph"/>
    <w:uiPriority w:val="34"/>
    <w:locked/>
    <w:rsid w:val="00621817"/>
    <w:rPr>
      <w:rFonts w:ascii="Calibri" w:eastAsia="Calibri" w:hAnsi="Calibri" w:cs="Calibri"/>
      <w:color w:val="000000"/>
    </w:rPr>
  </w:style>
  <w:style w:type="character" w:customStyle="1" w:styleId="hgkelc">
    <w:name w:val="hgkelc"/>
    <w:basedOn w:val="DefaultParagraphFont"/>
    <w:rsid w:val="00621817"/>
  </w:style>
  <w:style w:type="paragraph" w:styleId="Header">
    <w:name w:val="header"/>
    <w:basedOn w:val="Normal"/>
    <w:link w:val="HeaderChar"/>
    <w:uiPriority w:val="99"/>
    <w:unhideWhenUsed/>
    <w:rsid w:val="00FC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37"/>
  </w:style>
  <w:style w:type="paragraph" w:styleId="Footer">
    <w:name w:val="footer"/>
    <w:basedOn w:val="Normal"/>
    <w:link w:val="FooterChar"/>
    <w:uiPriority w:val="99"/>
    <w:unhideWhenUsed/>
    <w:rsid w:val="00FC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37"/>
  </w:style>
  <w:style w:type="paragraph" w:styleId="BalloonText">
    <w:name w:val="Balloon Text"/>
    <w:basedOn w:val="Normal"/>
    <w:link w:val="BalloonTextChar"/>
    <w:uiPriority w:val="99"/>
    <w:semiHidden/>
    <w:unhideWhenUsed/>
    <w:rsid w:val="00B5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15DF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D4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B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D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2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Cedeño Aponte</dc:creator>
  <cp:keywords/>
  <dc:description/>
  <cp:lastModifiedBy>Jelina Colon</cp:lastModifiedBy>
  <cp:revision>2</cp:revision>
  <cp:lastPrinted>2021-10-06T20:42:00Z</cp:lastPrinted>
  <dcterms:created xsi:type="dcterms:W3CDTF">2022-06-21T13:09:00Z</dcterms:created>
  <dcterms:modified xsi:type="dcterms:W3CDTF">2022-06-21T13:09:00Z</dcterms:modified>
</cp:coreProperties>
</file>